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320" w:rsidRPr="00245320" w:rsidRDefault="00676D6C" w:rsidP="00F3037B">
      <w:pPr>
        <w:spacing w:line="240" w:lineRule="auto"/>
        <w:rPr>
          <w:rFonts w:ascii="Century Gothic" w:hAnsi="Century Gothic"/>
          <w:sz w:val="52"/>
        </w:rPr>
      </w:pPr>
      <w:r w:rsidRPr="004F3E8D">
        <w:rPr>
          <w:rFonts w:ascii="Century Gothic" w:hAnsi="Century Gothic"/>
          <w:noProof/>
          <w:color w:val="595959" w:themeColor="text1" w:themeTint="A6"/>
          <w:sz w:val="52"/>
        </w:rPr>
        <mc:AlternateContent>
          <mc:Choice Requires="wps">
            <w:drawing>
              <wp:anchor distT="0" distB="0" distL="114300" distR="114300" simplePos="0" relativeHeight="251656704" behindDoc="1" locked="0" layoutInCell="1" allowOverlap="1" wp14:anchorId="7DDD2E37" wp14:editId="2942E01B">
                <wp:simplePos x="0" y="0"/>
                <wp:positionH relativeFrom="column">
                  <wp:posOffset>-950595</wp:posOffset>
                </wp:positionH>
                <wp:positionV relativeFrom="paragraph">
                  <wp:posOffset>468629</wp:posOffset>
                </wp:positionV>
                <wp:extent cx="8040370" cy="1743075"/>
                <wp:effectExtent l="0" t="0" r="0" b="9525"/>
                <wp:wrapNone/>
                <wp:docPr id="12" name="Rectangle 12"/>
                <wp:cNvGraphicFramePr/>
                <a:graphic xmlns:a="http://schemas.openxmlformats.org/drawingml/2006/main">
                  <a:graphicData uri="http://schemas.microsoft.com/office/word/2010/wordprocessingShape">
                    <wps:wsp>
                      <wps:cNvSpPr/>
                      <wps:spPr>
                        <a:xfrm>
                          <a:off x="0" y="0"/>
                          <a:ext cx="8040370" cy="1743075"/>
                        </a:xfrm>
                        <a:prstGeom prst="rect">
                          <a:avLst/>
                        </a:prstGeom>
                        <a:solidFill>
                          <a:srgbClr val="0088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F9E66" id="Rectangle 12" o:spid="_x0000_s1026" style="position:absolute;margin-left:-74.85pt;margin-top:36.9pt;width:633.1pt;height:13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" fillcolor="#008887" stroked="f" strokeweight="2pt"/>
            </w:pict>
          </mc:Fallback>
        </mc:AlternateContent>
      </w:r>
      <w:r w:rsidR="00DC0D40" w:rsidRPr="004F3E8D">
        <w:rPr>
          <w:rFonts w:ascii="Century Gothic" w:hAnsi="Century Gothic"/>
          <w:color w:val="595959" w:themeColor="text1" w:themeTint="A6"/>
          <w:sz w:val="52"/>
        </w:rPr>
        <w:t xml:space="preserve">Town </w:t>
      </w:r>
      <w:r w:rsidR="003D4CAD">
        <w:rPr>
          <w:rFonts w:ascii="Century Gothic" w:hAnsi="Century Gothic"/>
          <w:color w:val="595959" w:themeColor="text1" w:themeTint="A6"/>
          <w:sz w:val="52"/>
        </w:rPr>
        <w:t xml:space="preserve">and Village </w:t>
      </w:r>
      <w:r w:rsidR="00DC0D40" w:rsidRPr="004F3E8D">
        <w:rPr>
          <w:rFonts w:ascii="Century Gothic" w:hAnsi="Century Gothic"/>
          <w:color w:val="595959" w:themeColor="text1" w:themeTint="A6"/>
          <w:sz w:val="52"/>
        </w:rPr>
        <w:t xml:space="preserve">of New </w:t>
      </w:r>
      <w:proofErr w:type="spellStart"/>
      <w:r w:rsidR="00DC0D40" w:rsidRPr="004F3E8D">
        <w:rPr>
          <w:rFonts w:ascii="Century Gothic" w:hAnsi="Century Gothic"/>
          <w:color w:val="595959" w:themeColor="text1" w:themeTint="A6"/>
          <w:sz w:val="52"/>
        </w:rPr>
        <w:t>Paltz</w:t>
      </w:r>
      <w:proofErr w:type="spellEnd"/>
    </w:p>
    <w:p w:rsidR="00F3037B" w:rsidRPr="004F3E8D" w:rsidRDefault="004F3E8D" w:rsidP="00676D6C">
      <w:pPr>
        <w:pStyle w:val="coverpage"/>
        <w:spacing w:after="0"/>
        <w:rPr>
          <w:rStyle w:val="CommentReference"/>
          <w:sz w:val="72"/>
          <w:szCs w:val="56"/>
        </w:rPr>
      </w:pPr>
      <w:r w:rsidRPr="004F3E8D">
        <w:rPr>
          <w:sz w:val="72"/>
        </w:rPr>
        <w:t xml:space="preserve">Climate Change </w:t>
      </w:r>
      <w:r w:rsidR="00DC0D40" w:rsidRPr="004F3E8D">
        <w:rPr>
          <w:sz w:val="72"/>
        </w:rPr>
        <w:t>Vulnerability Assessment</w:t>
      </w:r>
      <w:r w:rsidR="00676D6C" w:rsidRPr="004F3E8D">
        <w:rPr>
          <w:sz w:val="72"/>
        </w:rPr>
        <w:t xml:space="preserve"> </w:t>
      </w:r>
      <w:r w:rsidR="002A5048">
        <w:rPr>
          <w:sz w:val="72"/>
        </w:rPr>
        <w:t>&amp; Future Predictions</w:t>
      </w:r>
    </w:p>
    <w:p w:rsidR="00DC0D40" w:rsidRPr="00AF583A" w:rsidRDefault="00DC0D40" w:rsidP="00F3037B">
      <w:pPr>
        <w:rPr>
          <w:sz w:val="16"/>
          <w:szCs w:val="16"/>
        </w:rPr>
      </w:pPr>
      <w:r>
        <w:rPr>
          <w:noProof/>
        </w:rPr>
        <w:drawing>
          <wp:inline distT="0" distB="0" distL="0" distR="0" wp14:anchorId="3568BF95" wp14:editId="0E8A8548">
            <wp:extent cx="2880360" cy="1916750"/>
            <wp:effectExtent l="38100" t="38100" r="34290" b="457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se\AppData\Local\Microsoft\Windows\INetCache\IE\HORXI10W\Placeholder[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80360" cy="1916750"/>
                    </a:xfrm>
                    <a:prstGeom prst="rect">
                      <a:avLst/>
                    </a:prstGeom>
                    <a:noFill/>
                    <a:ln w="38100">
                      <a:solidFill>
                        <a:schemeClr val="bg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D6BCB9" wp14:editId="0C12C7BF">
            <wp:extent cx="2889729" cy="1920240"/>
            <wp:effectExtent l="38100" t="38100" r="44450" b="419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se\AppData\Local\Microsoft\Windows\INetCache\IE\HORXI10W\Placeholder[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8152"/>
                    <a:stretch/>
                  </pic:blipFill>
                  <pic:spPr bwMode="auto">
                    <a:xfrm>
                      <a:off x="0" y="0"/>
                      <a:ext cx="2889729" cy="1920240"/>
                    </a:xfrm>
                    <a:prstGeom prst="rect">
                      <a:avLst/>
                    </a:prstGeom>
                    <a:noFill/>
                    <a:ln w="38100">
                      <a:solidFill>
                        <a:schemeClr val="bg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0AF0E2" wp14:editId="10C8137A">
            <wp:extent cx="2880360" cy="1706514"/>
            <wp:effectExtent l="38100" t="38100" r="34290" b="463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se\AppData\Local\Microsoft\Windows\INetCache\IE\HORXI10W\Placeholder[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80360" cy="1706514"/>
                    </a:xfrm>
                    <a:prstGeom prst="rect">
                      <a:avLst/>
                    </a:prstGeom>
                    <a:noFill/>
                    <a:ln w="38100">
                      <a:solidFill>
                        <a:schemeClr val="bg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9FEF15" wp14:editId="20A3E893">
            <wp:extent cx="2880360" cy="1711825"/>
            <wp:effectExtent l="38100" t="38100" r="34290" b="412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se\AppData\Local\Microsoft\Windows\INetCache\IE\HORXI10W\Placeholder[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176"/>
                    <a:stretch/>
                  </pic:blipFill>
                  <pic:spPr bwMode="auto">
                    <a:xfrm>
                      <a:off x="0" y="0"/>
                      <a:ext cx="2880360" cy="1711825"/>
                    </a:xfrm>
                    <a:prstGeom prst="rect">
                      <a:avLst/>
                    </a:prstGeom>
                    <a:noFill/>
                    <a:ln w="38100">
                      <a:solidFill>
                        <a:schemeClr val="bg1"/>
                      </a:solidFill>
                    </a:ln>
                    <a:extLst>
                      <a:ext uri="{53640926-AAD7-44D8-BBD7-CCE9431645EC}">
                        <a14:shadowObscured xmlns:a14="http://schemas.microsoft.com/office/drawing/2010/main"/>
                      </a:ext>
                    </a:extLst>
                  </pic:spPr>
                </pic:pic>
              </a:graphicData>
            </a:graphic>
          </wp:inline>
        </w:drawing>
      </w:r>
    </w:p>
    <w:p w:rsidR="00DC0D40" w:rsidRDefault="00DC0D40" w:rsidP="00F3037B">
      <w:pPr>
        <w:rPr>
          <w:color w:val="404040" w:themeColor="text1" w:themeTint="BF"/>
          <w:sz w:val="32"/>
        </w:rPr>
      </w:pPr>
      <w:r w:rsidRPr="00F0086B">
        <w:rPr>
          <w:color w:val="404040" w:themeColor="text1" w:themeTint="BF"/>
          <w:sz w:val="32"/>
        </w:rPr>
        <w:t xml:space="preserve">Produced in partnership with ICLEI – Local Governments for Sustainability USA </w:t>
      </w:r>
    </w:p>
    <w:p w:rsidR="003D4CAD" w:rsidRPr="00F0086B" w:rsidRDefault="003D4CAD" w:rsidP="00F3037B">
      <w:pPr>
        <w:rPr>
          <w:color w:val="404040" w:themeColor="text1" w:themeTint="BF"/>
          <w:sz w:val="32"/>
        </w:rPr>
      </w:pPr>
      <w:r w:rsidRPr="003D4CAD">
        <w:rPr>
          <w:color w:val="404040" w:themeColor="text1" w:themeTint="BF"/>
          <w:sz w:val="32"/>
        </w:rPr>
        <w:t>This project was funded in part by The Climate Smart Community Grant Program, Title 15 of the Environmental Protection Fund through the NYS Department of Environmental Conservation </w:t>
      </w:r>
    </w:p>
    <w:p w:rsidR="00A918EF" w:rsidRDefault="003D4CAD" w:rsidP="00A918EF">
      <w:pPr>
        <w:jc w:val="center"/>
      </w:pPr>
      <w:r>
        <w:rPr>
          <w:rFonts w:ascii="Century Gothic" w:eastAsia="Times New Roman" w:hAnsi="Century Gothic" w:cs="Arial"/>
          <w:b/>
          <w:noProof/>
          <w:color w:val="000000"/>
          <w:sz w:val="96"/>
          <w:szCs w:val="36"/>
        </w:rPr>
        <w:drawing>
          <wp:anchor distT="0" distB="0" distL="114300" distR="114300" simplePos="0" relativeHeight="251653632" behindDoc="1" locked="0" layoutInCell="1" allowOverlap="1" wp14:anchorId="4B1A5F1A" wp14:editId="4DBF53D1">
            <wp:simplePos x="0" y="0"/>
            <wp:positionH relativeFrom="column">
              <wp:posOffset>3613150</wp:posOffset>
            </wp:positionH>
            <wp:positionV relativeFrom="paragraph">
              <wp:posOffset>590550</wp:posOffset>
            </wp:positionV>
            <wp:extent cx="1783715" cy="779145"/>
            <wp:effectExtent l="0" t="0" r="6985" b="1905"/>
            <wp:wrapTight wrapText="bothSides">
              <wp:wrapPolygon edited="0">
                <wp:start x="692" y="0"/>
                <wp:lineTo x="0" y="2641"/>
                <wp:lineTo x="0" y="20597"/>
                <wp:lineTo x="14764" y="21125"/>
                <wp:lineTo x="15917" y="21125"/>
                <wp:lineTo x="19147" y="21125"/>
                <wp:lineTo x="21454" y="19540"/>
                <wp:lineTo x="21454" y="8978"/>
                <wp:lineTo x="16840" y="6866"/>
                <wp:lineTo x="16379" y="0"/>
                <wp:lineTo x="692" y="0"/>
              </wp:wrapPolygon>
            </wp:wrapTight>
            <wp:docPr id="13" name="Picture 13" descr="C:\Users\jesse\Dropbox (ICLEI)\Communications\Logos\ICLEI\ICLEI USA\Vertical\ICLEI_us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sse\Dropbox (ICLEI)\Communications\Logos\ICLEI\ICLEI USA\Vertical\ICLEI_usa-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371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37B" w:rsidRPr="00F303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918EF">
        <w:br w:type="page"/>
      </w:r>
    </w:p>
    <w:p w:rsidR="00DC0D40" w:rsidRDefault="00A6485A" w:rsidP="005C3D6E">
      <w:pPr>
        <w:spacing w:before="0" w:after="200"/>
      </w:pPr>
      <w:r w:rsidRPr="003655E7">
        <w:rPr>
          <w:noProof/>
          <w:color w:val="595959" w:themeColor="text1" w:themeTint="A6"/>
        </w:rPr>
        <w:lastRenderedPageBreak/>
        <mc:AlternateContent>
          <mc:Choice Requires="wps">
            <w:drawing>
              <wp:anchor distT="0" distB="0" distL="114300" distR="114300" simplePos="0" relativeHeight="251654656" behindDoc="1" locked="0" layoutInCell="1" allowOverlap="1" wp14:anchorId="34C3F2BB" wp14:editId="5C43AF8C">
                <wp:simplePos x="0" y="0"/>
                <wp:positionH relativeFrom="column">
                  <wp:posOffset>-961712</wp:posOffset>
                </wp:positionH>
                <wp:positionV relativeFrom="paragraph">
                  <wp:posOffset>-130175</wp:posOffset>
                </wp:positionV>
                <wp:extent cx="8040370" cy="665019"/>
                <wp:effectExtent l="0" t="0" r="0" b="1905"/>
                <wp:wrapNone/>
                <wp:docPr id="14" name="Rectangle 14"/>
                <wp:cNvGraphicFramePr/>
                <a:graphic xmlns:a="http://schemas.openxmlformats.org/drawingml/2006/main">
                  <a:graphicData uri="http://schemas.microsoft.com/office/word/2010/wordprocessingShape">
                    <wps:wsp>
                      <wps:cNvSpPr/>
                      <wps:spPr>
                        <a:xfrm>
                          <a:off x="0" y="0"/>
                          <a:ext cx="8040370" cy="665019"/>
                        </a:xfrm>
                        <a:prstGeom prst="rect">
                          <a:avLst/>
                        </a:prstGeom>
                        <a:solidFill>
                          <a:srgbClr val="0088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39913" id="Rectangle 14" o:spid="_x0000_s1026" style="position:absolute;margin-left:-75.75pt;margin-top:-10.25pt;width:633.1pt;height:5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" fillcolor="#008887" stroked="f" strokeweight="2pt"/>
            </w:pict>
          </mc:Fallback>
        </mc:AlternateContent>
      </w:r>
      <w:r>
        <w:t>Table of Contents</w:t>
      </w:r>
    </w:p>
    <w:p w:rsidR="00A918EF" w:rsidRDefault="00A918EF">
      <w:pPr>
        <w:spacing w:before="0" w:after="200"/>
      </w:pPr>
    </w:p>
    <w:p w:rsidR="00581127" w:rsidRDefault="00365227">
      <w:pPr>
        <w:pStyle w:val="TOC1"/>
        <w:tabs>
          <w:tab w:val="left" w:pos="440"/>
          <w:tab w:val="right" w:leader="dot" w:pos="9926"/>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28525285" w:history="1">
        <w:r w:rsidR="00581127" w:rsidRPr="001D46A5">
          <w:rPr>
            <w:rStyle w:val="Hyperlink"/>
            <w:b/>
            <w:noProof/>
            <w14:scene3d>
              <w14:camera w14:prst="orthographicFront"/>
              <w14:lightRig w14:rig="threePt" w14:dir="t">
                <w14:rot w14:lat="0" w14:lon="0" w14:rev="0"/>
              </w14:lightRig>
            </w14:scene3d>
          </w:rPr>
          <w:t>1</w:t>
        </w:r>
        <w:r w:rsidR="00581127">
          <w:rPr>
            <w:rFonts w:asciiTheme="minorHAnsi" w:eastAsiaTheme="minorEastAsia" w:hAnsiTheme="minorHAnsi" w:cstheme="minorBidi"/>
            <w:noProof/>
            <w:color w:val="auto"/>
          </w:rPr>
          <w:tab/>
        </w:r>
        <w:r w:rsidR="00581127" w:rsidRPr="001D46A5">
          <w:rPr>
            <w:rStyle w:val="Hyperlink"/>
            <w:noProof/>
          </w:rPr>
          <w:t>Background and Significance</w:t>
        </w:r>
        <w:r w:rsidR="00581127">
          <w:rPr>
            <w:noProof/>
            <w:webHidden/>
          </w:rPr>
          <w:tab/>
        </w:r>
        <w:r w:rsidR="00581127">
          <w:rPr>
            <w:noProof/>
            <w:webHidden/>
          </w:rPr>
          <w:fldChar w:fldCharType="begin"/>
        </w:r>
        <w:r w:rsidR="00581127">
          <w:rPr>
            <w:noProof/>
            <w:webHidden/>
          </w:rPr>
          <w:instrText xml:space="preserve"> PAGEREF _Toc28525285 \h </w:instrText>
        </w:r>
        <w:r w:rsidR="00581127">
          <w:rPr>
            <w:noProof/>
            <w:webHidden/>
          </w:rPr>
        </w:r>
        <w:r w:rsidR="00581127">
          <w:rPr>
            <w:noProof/>
            <w:webHidden/>
          </w:rPr>
          <w:fldChar w:fldCharType="separate"/>
        </w:r>
        <w:r w:rsidR="00581127">
          <w:rPr>
            <w:noProof/>
            <w:webHidden/>
          </w:rPr>
          <w:t>3</w:t>
        </w:r>
        <w:r w:rsidR="00581127">
          <w:rPr>
            <w:noProof/>
            <w:webHidden/>
          </w:rPr>
          <w:fldChar w:fldCharType="end"/>
        </w:r>
      </w:hyperlink>
    </w:p>
    <w:p w:rsidR="00581127" w:rsidRDefault="00581127">
      <w:pPr>
        <w:pStyle w:val="TOC2"/>
        <w:tabs>
          <w:tab w:val="left" w:pos="660"/>
          <w:tab w:val="right" w:leader="dot" w:pos="9926"/>
        </w:tabs>
        <w:rPr>
          <w:rFonts w:asciiTheme="minorHAnsi" w:eastAsiaTheme="minorEastAsia" w:hAnsiTheme="minorHAnsi" w:cstheme="minorBidi"/>
          <w:noProof/>
          <w:color w:val="auto"/>
        </w:rPr>
      </w:pPr>
      <w:hyperlink w:anchor="_Toc28525286" w:history="1">
        <w:r w:rsidRPr="001D46A5">
          <w:rPr>
            <w:rStyle w:val="Hyperlink"/>
            <w:noProof/>
            <w:lang w:bidi="x-none"/>
            <w14:scene3d>
              <w14:camera w14:prst="orthographicFront"/>
              <w14:lightRig w14:rig="threePt" w14:dir="t">
                <w14:rot w14:lat="0" w14:lon="0" w14:rev="0"/>
              </w14:lightRig>
            </w14:scene3d>
          </w:rPr>
          <w:t>1.1</w:t>
        </w:r>
        <w:r>
          <w:rPr>
            <w:rFonts w:asciiTheme="minorHAnsi" w:eastAsiaTheme="minorEastAsia" w:hAnsiTheme="minorHAnsi" w:cstheme="minorBidi"/>
            <w:noProof/>
            <w:color w:val="auto"/>
          </w:rPr>
          <w:tab/>
        </w:r>
        <w:r w:rsidRPr="001D46A5">
          <w:rPr>
            <w:rStyle w:val="Hyperlink"/>
            <w:noProof/>
          </w:rPr>
          <w:t>Climate Smart Communities</w:t>
        </w:r>
        <w:r>
          <w:rPr>
            <w:noProof/>
            <w:webHidden/>
          </w:rPr>
          <w:tab/>
        </w:r>
        <w:r>
          <w:rPr>
            <w:noProof/>
            <w:webHidden/>
          </w:rPr>
          <w:fldChar w:fldCharType="begin"/>
        </w:r>
        <w:r>
          <w:rPr>
            <w:noProof/>
            <w:webHidden/>
          </w:rPr>
          <w:instrText xml:space="preserve"> PAGEREF _Toc28525286 \h </w:instrText>
        </w:r>
        <w:r>
          <w:rPr>
            <w:noProof/>
            <w:webHidden/>
          </w:rPr>
        </w:r>
        <w:r>
          <w:rPr>
            <w:noProof/>
            <w:webHidden/>
          </w:rPr>
          <w:fldChar w:fldCharType="separate"/>
        </w:r>
        <w:r>
          <w:rPr>
            <w:noProof/>
            <w:webHidden/>
          </w:rPr>
          <w:t>3</w:t>
        </w:r>
        <w:r>
          <w:rPr>
            <w:noProof/>
            <w:webHidden/>
          </w:rPr>
          <w:fldChar w:fldCharType="end"/>
        </w:r>
      </w:hyperlink>
    </w:p>
    <w:p w:rsidR="00581127" w:rsidRDefault="00581127">
      <w:pPr>
        <w:pStyle w:val="TOC2"/>
        <w:tabs>
          <w:tab w:val="left" w:pos="880"/>
          <w:tab w:val="right" w:leader="dot" w:pos="9926"/>
        </w:tabs>
        <w:rPr>
          <w:rFonts w:asciiTheme="minorHAnsi" w:eastAsiaTheme="minorEastAsia" w:hAnsiTheme="minorHAnsi" w:cstheme="minorBidi"/>
          <w:noProof/>
          <w:color w:val="auto"/>
        </w:rPr>
      </w:pPr>
      <w:hyperlink w:anchor="_Toc28525287" w:history="1">
        <w:r w:rsidRPr="001D46A5">
          <w:rPr>
            <w:rStyle w:val="Hyperlink"/>
            <w:noProof/>
            <w:lang w:bidi="x-none"/>
            <w14:scene3d>
              <w14:camera w14:prst="orthographicFront"/>
              <w14:lightRig w14:rig="threePt" w14:dir="t">
                <w14:rot w14:lat="0" w14:lon="0" w14:rev="0"/>
              </w14:lightRig>
            </w14:scene3d>
          </w:rPr>
          <w:t>1.2</w:t>
        </w:r>
        <w:r>
          <w:rPr>
            <w:rFonts w:asciiTheme="minorHAnsi" w:eastAsiaTheme="minorEastAsia" w:hAnsiTheme="minorHAnsi" w:cstheme="minorBidi"/>
            <w:noProof/>
            <w:color w:val="auto"/>
          </w:rPr>
          <w:tab/>
        </w:r>
        <w:r w:rsidRPr="001D46A5">
          <w:rPr>
            <w:rStyle w:val="Hyperlink"/>
            <w:noProof/>
          </w:rPr>
          <w:t>New Paltz: A Climate Smart Community</w:t>
        </w:r>
        <w:r>
          <w:rPr>
            <w:noProof/>
            <w:webHidden/>
          </w:rPr>
          <w:tab/>
        </w:r>
        <w:r>
          <w:rPr>
            <w:noProof/>
            <w:webHidden/>
          </w:rPr>
          <w:fldChar w:fldCharType="begin"/>
        </w:r>
        <w:r>
          <w:rPr>
            <w:noProof/>
            <w:webHidden/>
          </w:rPr>
          <w:instrText xml:space="preserve"> PAGEREF _Toc28525287 \h </w:instrText>
        </w:r>
        <w:r>
          <w:rPr>
            <w:noProof/>
            <w:webHidden/>
          </w:rPr>
        </w:r>
        <w:r>
          <w:rPr>
            <w:noProof/>
            <w:webHidden/>
          </w:rPr>
          <w:fldChar w:fldCharType="separate"/>
        </w:r>
        <w:r>
          <w:rPr>
            <w:noProof/>
            <w:webHidden/>
          </w:rPr>
          <w:t>4</w:t>
        </w:r>
        <w:r>
          <w:rPr>
            <w:noProof/>
            <w:webHidden/>
          </w:rPr>
          <w:fldChar w:fldCharType="end"/>
        </w:r>
      </w:hyperlink>
    </w:p>
    <w:p w:rsidR="00581127" w:rsidRDefault="00581127">
      <w:pPr>
        <w:pStyle w:val="TOC2"/>
        <w:tabs>
          <w:tab w:val="left" w:pos="880"/>
          <w:tab w:val="right" w:leader="dot" w:pos="9926"/>
        </w:tabs>
        <w:rPr>
          <w:rFonts w:asciiTheme="minorHAnsi" w:eastAsiaTheme="minorEastAsia" w:hAnsiTheme="minorHAnsi" w:cstheme="minorBidi"/>
          <w:noProof/>
          <w:color w:val="auto"/>
        </w:rPr>
      </w:pPr>
      <w:hyperlink w:anchor="_Toc28525288" w:history="1">
        <w:r w:rsidRPr="001D46A5">
          <w:rPr>
            <w:rStyle w:val="Hyperlink"/>
            <w:noProof/>
            <w:lang w:bidi="x-none"/>
            <w14:scene3d>
              <w14:camera w14:prst="orthographicFront"/>
              <w14:lightRig w14:rig="threePt" w14:dir="t">
                <w14:rot w14:lat="0" w14:lon="0" w14:rev="0"/>
              </w14:lightRig>
            </w14:scene3d>
          </w:rPr>
          <w:t>1.3</w:t>
        </w:r>
        <w:r>
          <w:rPr>
            <w:rFonts w:asciiTheme="minorHAnsi" w:eastAsiaTheme="minorEastAsia" w:hAnsiTheme="minorHAnsi" w:cstheme="minorBidi"/>
            <w:noProof/>
            <w:color w:val="auto"/>
          </w:rPr>
          <w:tab/>
        </w:r>
        <w:r w:rsidRPr="001D46A5">
          <w:rPr>
            <w:rStyle w:val="Hyperlink"/>
            <w:noProof/>
          </w:rPr>
          <w:t>Climate Change Vulnerability Assessment</w:t>
        </w:r>
        <w:r>
          <w:rPr>
            <w:noProof/>
            <w:webHidden/>
          </w:rPr>
          <w:tab/>
        </w:r>
        <w:r>
          <w:rPr>
            <w:noProof/>
            <w:webHidden/>
          </w:rPr>
          <w:fldChar w:fldCharType="begin"/>
        </w:r>
        <w:r>
          <w:rPr>
            <w:noProof/>
            <w:webHidden/>
          </w:rPr>
          <w:instrText xml:space="preserve"> PAGEREF _Toc28525288 \h </w:instrText>
        </w:r>
        <w:r>
          <w:rPr>
            <w:noProof/>
            <w:webHidden/>
          </w:rPr>
        </w:r>
        <w:r>
          <w:rPr>
            <w:noProof/>
            <w:webHidden/>
          </w:rPr>
          <w:fldChar w:fldCharType="separate"/>
        </w:r>
        <w:r>
          <w:rPr>
            <w:noProof/>
            <w:webHidden/>
          </w:rPr>
          <w:t>5</w:t>
        </w:r>
        <w:r>
          <w:rPr>
            <w:noProof/>
            <w:webHidden/>
          </w:rPr>
          <w:fldChar w:fldCharType="end"/>
        </w:r>
      </w:hyperlink>
    </w:p>
    <w:p w:rsidR="00581127" w:rsidRDefault="00581127">
      <w:pPr>
        <w:pStyle w:val="TOC1"/>
        <w:tabs>
          <w:tab w:val="left" w:pos="440"/>
          <w:tab w:val="right" w:leader="dot" w:pos="9926"/>
        </w:tabs>
        <w:rPr>
          <w:rFonts w:asciiTheme="minorHAnsi" w:eastAsiaTheme="minorEastAsia" w:hAnsiTheme="minorHAnsi" w:cstheme="minorBidi"/>
          <w:noProof/>
          <w:color w:val="auto"/>
        </w:rPr>
      </w:pPr>
      <w:hyperlink w:anchor="_Toc28525289" w:history="1">
        <w:r w:rsidRPr="001D46A5">
          <w:rPr>
            <w:rStyle w:val="Hyperlink"/>
            <w:b/>
            <w:noProof/>
            <w14:scene3d>
              <w14:camera w14:prst="orthographicFront"/>
              <w14:lightRig w14:rig="threePt" w14:dir="t">
                <w14:rot w14:lat="0" w14:lon="0" w14:rev="0"/>
              </w14:lightRig>
            </w14:scene3d>
          </w:rPr>
          <w:t>2</w:t>
        </w:r>
        <w:r>
          <w:rPr>
            <w:rFonts w:asciiTheme="minorHAnsi" w:eastAsiaTheme="minorEastAsia" w:hAnsiTheme="minorHAnsi" w:cstheme="minorBidi"/>
            <w:noProof/>
            <w:color w:val="auto"/>
          </w:rPr>
          <w:tab/>
        </w:r>
        <w:r w:rsidRPr="001D46A5">
          <w:rPr>
            <w:rStyle w:val="Hyperlink"/>
            <w:noProof/>
          </w:rPr>
          <w:t>Vulnerability Assessment</w:t>
        </w:r>
        <w:r>
          <w:rPr>
            <w:noProof/>
            <w:webHidden/>
          </w:rPr>
          <w:tab/>
        </w:r>
        <w:r>
          <w:rPr>
            <w:noProof/>
            <w:webHidden/>
          </w:rPr>
          <w:fldChar w:fldCharType="begin"/>
        </w:r>
        <w:r>
          <w:rPr>
            <w:noProof/>
            <w:webHidden/>
          </w:rPr>
          <w:instrText xml:space="preserve"> PAGEREF _Toc28525289 \h </w:instrText>
        </w:r>
        <w:r>
          <w:rPr>
            <w:noProof/>
            <w:webHidden/>
          </w:rPr>
        </w:r>
        <w:r>
          <w:rPr>
            <w:noProof/>
            <w:webHidden/>
          </w:rPr>
          <w:fldChar w:fldCharType="separate"/>
        </w:r>
        <w:r>
          <w:rPr>
            <w:noProof/>
            <w:webHidden/>
          </w:rPr>
          <w:t>6</w:t>
        </w:r>
        <w:r>
          <w:rPr>
            <w:noProof/>
            <w:webHidden/>
          </w:rPr>
          <w:fldChar w:fldCharType="end"/>
        </w:r>
      </w:hyperlink>
    </w:p>
    <w:p w:rsidR="00581127" w:rsidRDefault="00581127">
      <w:pPr>
        <w:pStyle w:val="TOC2"/>
        <w:tabs>
          <w:tab w:val="left" w:pos="880"/>
          <w:tab w:val="right" w:leader="dot" w:pos="9926"/>
        </w:tabs>
        <w:rPr>
          <w:rFonts w:asciiTheme="minorHAnsi" w:eastAsiaTheme="minorEastAsia" w:hAnsiTheme="minorHAnsi" w:cstheme="minorBidi"/>
          <w:noProof/>
          <w:color w:val="auto"/>
        </w:rPr>
      </w:pPr>
      <w:hyperlink w:anchor="_Toc28525290" w:history="1">
        <w:r w:rsidRPr="001D46A5">
          <w:rPr>
            <w:rStyle w:val="Hyperlink"/>
            <w:noProof/>
            <w:lang w:bidi="x-none"/>
            <w14:scene3d>
              <w14:camera w14:prst="orthographicFront"/>
              <w14:lightRig w14:rig="threePt" w14:dir="t">
                <w14:rot w14:lat="0" w14:lon="0" w14:rev="0"/>
              </w14:lightRig>
            </w14:scene3d>
          </w:rPr>
          <w:t>2.1</w:t>
        </w:r>
        <w:r>
          <w:rPr>
            <w:rFonts w:asciiTheme="minorHAnsi" w:eastAsiaTheme="minorEastAsia" w:hAnsiTheme="minorHAnsi" w:cstheme="minorBidi"/>
            <w:noProof/>
            <w:color w:val="auto"/>
          </w:rPr>
          <w:tab/>
        </w:r>
        <w:r w:rsidRPr="001D46A5">
          <w:rPr>
            <w:rStyle w:val="Hyperlink"/>
            <w:noProof/>
          </w:rPr>
          <w:t>Methodology</w:t>
        </w:r>
        <w:r>
          <w:rPr>
            <w:noProof/>
            <w:webHidden/>
          </w:rPr>
          <w:tab/>
        </w:r>
        <w:r>
          <w:rPr>
            <w:noProof/>
            <w:webHidden/>
          </w:rPr>
          <w:fldChar w:fldCharType="begin"/>
        </w:r>
        <w:r>
          <w:rPr>
            <w:noProof/>
            <w:webHidden/>
          </w:rPr>
          <w:instrText xml:space="preserve"> PAGEREF _Toc28525290 \h </w:instrText>
        </w:r>
        <w:r>
          <w:rPr>
            <w:noProof/>
            <w:webHidden/>
          </w:rPr>
        </w:r>
        <w:r>
          <w:rPr>
            <w:noProof/>
            <w:webHidden/>
          </w:rPr>
          <w:fldChar w:fldCharType="separate"/>
        </w:r>
        <w:r>
          <w:rPr>
            <w:noProof/>
            <w:webHidden/>
          </w:rPr>
          <w:t>6</w:t>
        </w:r>
        <w:r>
          <w:rPr>
            <w:noProof/>
            <w:webHidden/>
          </w:rPr>
          <w:fldChar w:fldCharType="end"/>
        </w:r>
      </w:hyperlink>
    </w:p>
    <w:p w:rsidR="00581127" w:rsidRDefault="00581127">
      <w:pPr>
        <w:pStyle w:val="TOC3"/>
        <w:tabs>
          <w:tab w:val="right" w:leader="dot" w:pos="9926"/>
        </w:tabs>
        <w:rPr>
          <w:rFonts w:asciiTheme="minorHAnsi" w:eastAsiaTheme="minorEastAsia" w:hAnsiTheme="minorHAnsi" w:cstheme="minorBidi"/>
          <w:noProof/>
          <w:color w:val="auto"/>
        </w:rPr>
      </w:pPr>
      <w:hyperlink w:anchor="_Toc28525291" w:history="1">
        <w:r w:rsidRPr="001D46A5">
          <w:rPr>
            <w:rStyle w:val="Hyperlink"/>
            <w:noProof/>
          </w:rPr>
          <w:t>NYS Climate Adaptation Framework</w:t>
        </w:r>
        <w:r>
          <w:rPr>
            <w:noProof/>
            <w:webHidden/>
          </w:rPr>
          <w:tab/>
        </w:r>
        <w:r>
          <w:rPr>
            <w:noProof/>
            <w:webHidden/>
          </w:rPr>
          <w:fldChar w:fldCharType="begin"/>
        </w:r>
        <w:r>
          <w:rPr>
            <w:noProof/>
            <w:webHidden/>
          </w:rPr>
          <w:instrText xml:space="preserve"> PAGEREF _Toc28525291 \h </w:instrText>
        </w:r>
        <w:r>
          <w:rPr>
            <w:noProof/>
            <w:webHidden/>
          </w:rPr>
        </w:r>
        <w:r>
          <w:rPr>
            <w:noProof/>
            <w:webHidden/>
          </w:rPr>
          <w:fldChar w:fldCharType="separate"/>
        </w:r>
        <w:r>
          <w:rPr>
            <w:noProof/>
            <w:webHidden/>
          </w:rPr>
          <w:t>6</w:t>
        </w:r>
        <w:r>
          <w:rPr>
            <w:noProof/>
            <w:webHidden/>
          </w:rPr>
          <w:fldChar w:fldCharType="end"/>
        </w:r>
      </w:hyperlink>
    </w:p>
    <w:p w:rsidR="00581127" w:rsidRDefault="00581127">
      <w:pPr>
        <w:pStyle w:val="TOC3"/>
        <w:tabs>
          <w:tab w:val="right" w:leader="dot" w:pos="9926"/>
        </w:tabs>
        <w:rPr>
          <w:rFonts w:asciiTheme="minorHAnsi" w:eastAsiaTheme="minorEastAsia" w:hAnsiTheme="minorHAnsi" w:cstheme="minorBidi"/>
          <w:noProof/>
          <w:color w:val="auto"/>
        </w:rPr>
      </w:pPr>
      <w:hyperlink w:anchor="_Toc28525292" w:history="1">
        <w:r w:rsidRPr="001D46A5">
          <w:rPr>
            <w:rStyle w:val="Hyperlink"/>
            <w:noProof/>
          </w:rPr>
          <w:t>ICLEI GreenClimateCities</w:t>
        </w:r>
        <w:r>
          <w:rPr>
            <w:noProof/>
            <w:webHidden/>
          </w:rPr>
          <w:tab/>
        </w:r>
        <w:r>
          <w:rPr>
            <w:noProof/>
            <w:webHidden/>
          </w:rPr>
          <w:fldChar w:fldCharType="begin"/>
        </w:r>
        <w:r>
          <w:rPr>
            <w:noProof/>
            <w:webHidden/>
          </w:rPr>
          <w:instrText xml:space="preserve"> PAGEREF _Toc28525292 \h </w:instrText>
        </w:r>
        <w:r>
          <w:rPr>
            <w:noProof/>
            <w:webHidden/>
          </w:rPr>
        </w:r>
        <w:r>
          <w:rPr>
            <w:noProof/>
            <w:webHidden/>
          </w:rPr>
          <w:fldChar w:fldCharType="separate"/>
        </w:r>
        <w:r>
          <w:rPr>
            <w:noProof/>
            <w:webHidden/>
          </w:rPr>
          <w:t>7</w:t>
        </w:r>
        <w:r>
          <w:rPr>
            <w:noProof/>
            <w:webHidden/>
          </w:rPr>
          <w:fldChar w:fldCharType="end"/>
        </w:r>
      </w:hyperlink>
    </w:p>
    <w:p w:rsidR="00581127" w:rsidRDefault="00581127">
      <w:pPr>
        <w:pStyle w:val="TOC3"/>
        <w:tabs>
          <w:tab w:val="right" w:leader="dot" w:pos="9926"/>
        </w:tabs>
        <w:rPr>
          <w:rFonts w:asciiTheme="minorHAnsi" w:eastAsiaTheme="minorEastAsia" w:hAnsiTheme="minorHAnsi" w:cstheme="minorBidi"/>
          <w:noProof/>
          <w:color w:val="auto"/>
        </w:rPr>
      </w:pPr>
      <w:hyperlink w:anchor="_Toc28525293" w:history="1">
        <w:r w:rsidRPr="001D46A5">
          <w:rPr>
            <w:rStyle w:val="Hyperlink"/>
            <w:smallCaps/>
            <w:noProof/>
          </w:rPr>
          <w:t>Temperate</w:t>
        </w:r>
        <w:r>
          <w:rPr>
            <w:noProof/>
            <w:webHidden/>
          </w:rPr>
          <w:tab/>
        </w:r>
        <w:r>
          <w:rPr>
            <w:noProof/>
            <w:webHidden/>
          </w:rPr>
          <w:fldChar w:fldCharType="begin"/>
        </w:r>
        <w:r>
          <w:rPr>
            <w:noProof/>
            <w:webHidden/>
          </w:rPr>
          <w:instrText xml:space="preserve"> PAGEREF _Toc28525293 \h </w:instrText>
        </w:r>
        <w:r>
          <w:rPr>
            <w:noProof/>
            <w:webHidden/>
          </w:rPr>
        </w:r>
        <w:r>
          <w:rPr>
            <w:noProof/>
            <w:webHidden/>
          </w:rPr>
          <w:fldChar w:fldCharType="separate"/>
        </w:r>
        <w:r>
          <w:rPr>
            <w:noProof/>
            <w:webHidden/>
          </w:rPr>
          <w:t>8</w:t>
        </w:r>
        <w:r>
          <w:rPr>
            <w:noProof/>
            <w:webHidden/>
          </w:rPr>
          <w:fldChar w:fldCharType="end"/>
        </w:r>
      </w:hyperlink>
    </w:p>
    <w:p w:rsidR="00581127" w:rsidRDefault="00581127">
      <w:pPr>
        <w:pStyle w:val="TOC2"/>
        <w:tabs>
          <w:tab w:val="left" w:pos="880"/>
          <w:tab w:val="right" w:leader="dot" w:pos="9926"/>
        </w:tabs>
        <w:rPr>
          <w:rFonts w:asciiTheme="minorHAnsi" w:eastAsiaTheme="minorEastAsia" w:hAnsiTheme="minorHAnsi" w:cstheme="minorBidi"/>
          <w:noProof/>
          <w:color w:val="auto"/>
        </w:rPr>
      </w:pPr>
      <w:hyperlink w:anchor="_Toc28525294" w:history="1">
        <w:r w:rsidRPr="001D46A5">
          <w:rPr>
            <w:rStyle w:val="Hyperlink"/>
            <w:rFonts w:cs="Times New Roman"/>
            <w:noProof/>
            <w:lang w:bidi="x-none"/>
            <w14:scene3d>
              <w14:camera w14:prst="orthographicFront"/>
              <w14:lightRig w14:rig="threePt" w14:dir="t">
                <w14:rot w14:lat="0" w14:lon="0" w14:rev="0"/>
              </w14:lightRig>
            </w14:scene3d>
          </w:rPr>
          <w:t>2.2</w:t>
        </w:r>
        <w:r>
          <w:rPr>
            <w:rFonts w:asciiTheme="minorHAnsi" w:eastAsiaTheme="minorEastAsia" w:hAnsiTheme="minorHAnsi" w:cstheme="minorBidi"/>
            <w:noProof/>
            <w:color w:val="auto"/>
          </w:rPr>
          <w:tab/>
        </w:r>
        <w:r w:rsidRPr="001D46A5">
          <w:rPr>
            <w:rStyle w:val="Hyperlink"/>
            <w:noProof/>
          </w:rPr>
          <w:t>Results</w:t>
        </w:r>
        <w:r>
          <w:rPr>
            <w:noProof/>
            <w:webHidden/>
          </w:rPr>
          <w:tab/>
        </w:r>
        <w:r>
          <w:rPr>
            <w:noProof/>
            <w:webHidden/>
          </w:rPr>
          <w:fldChar w:fldCharType="begin"/>
        </w:r>
        <w:r>
          <w:rPr>
            <w:noProof/>
            <w:webHidden/>
          </w:rPr>
          <w:instrText xml:space="preserve"> PAGEREF _Toc28525294 \h </w:instrText>
        </w:r>
        <w:r>
          <w:rPr>
            <w:noProof/>
            <w:webHidden/>
          </w:rPr>
        </w:r>
        <w:r>
          <w:rPr>
            <w:noProof/>
            <w:webHidden/>
          </w:rPr>
          <w:fldChar w:fldCharType="separate"/>
        </w:r>
        <w:r>
          <w:rPr>
            <w:noProof/>
            <w:webHidden/>
          </w:rPr>
          <w:t>8</w:t>
        </w:r>
        <w:r>
          <w:rPr>
            <w:noProof/>
            <w:webHidden/>
          </w:rPr>
          <w:fldChar w:fldCharType="end"/>
        </w:r>
      </w:hyperlink>
    </w:p>
    <w:p w:rsidR="00581127" w:rsidRDefault="00581127">
      <w:pPr>
        <w:pStyle w:val="TOC3"/>
        <w:tabs>
          <w:tab w:val="right" w:leader="dot" w:pos="9926"/>
        </w:tabs>
        <w:rPr>
          <w:rFonts w:asciiTheme="minorHAnsi" w:eastAsiaTheme="minorEastAsia" w:hAnsiTheme="minorHAnsi" w:cstheme="minorBidi"/>
          <w:noProof/>
          <w:color w:val="auto"/>
        </w:rPr>
      </w:pPr>
      <w:hyperlink w:anchor="_Toc28525295" w:history="1">
        <w:r w:rsidRPr="001D46A5">
          <w:rPr>
            <w:rStyle w:val="Hyperlink"/>
            <w:smallCaps/>
            <w:noProof/>
          </w:rPr>
          <w:t>Temperate</w:t>
        </w:r>
        <w:r>
          <w:rPr>
            <w:noProof/>
            <w:webHidden/>
          </w:rPr>
          <w:tab/>
        </w:r>
        <w:r>
          <w:rPr>
            <w:noProof/>
            <w:webHidden/>
          </w:rPr>
          <w:fldChar w:fldCharType="begin"/>
        </w:r>
        <w:r>
          <w:rPr>
            <w:noProof/>
            <w:webHidden/>
          </w:rPr>
          <w:instrText xml:space="preserve"> PAGEREF _Toc28525295 \h </w:instrText>
        </w:r>
        <w:r>
          <w:rPr>
            <w:noProof/>
            <w:webHidden/>
          </w:rPr>
        </w:r>
        <w:r>
          <w:rPr>
            <w:noProof/>
            <w:webHidden/>
          </w:rPr>
          <w:fldChar w:fldCharType="separate"/>
        </w:r>
        <w:r>
          <w:rPr>
            <w:noProof/>
            <w:webHidden/>
          </w:rPr>
          <w:t>8</w:t>
        </w:r>
        <w:r>
          <w:rPr>
            <w:noProof/>
            <w:webHidden/>
          </w:rPr>
          <w:fldChar w:fldCharType="end"/>
        </w:r>
      </w:hyperlink>
    </w:p>
    <w:p w:rsidR="00581127" w:rsidRDefault="00581127">
      <w:pPr>
        <w:pStyle w:val="TOC1"/>
        <w:tabs>
          <w:tab w:val="left" w:pos="440"/>
          <w:tab w:val="right" w:leader="dot" w:pos="9926"/>
        </w:tabs>
        <w:rPr>
          <w:rFonts w:asciiTheme="minorHAnsi" w:eastAsiaTheme="minorEastAsia" w:hAnsiTheme="minorHAnsi" w:cstheme="minorBidi"/>
          <w:noProof/>
          <w:color w:val="auto"/>
        </w:rPr>
      </w:pPr>
      <w:hyperlink w:anchor="_Toc28525296" w:history="1">
        <w:r w:rsidRPr="001D46A5">
          <w:rPr>
            <w:rStyle w:val="Hyperlink"/>
            <w:b/>
            <w:noProof/>
            <w14:scene3d>
              <w14:camera w14:prst="orthographicFront"/>
              <w14:lightRig w14:rig="threePt" w14:dir="t">
                <w14:rot w14:lat="0" w14:lon="0" w14:rev="0"/>
              </w14:lightRig>
            </w14:scene3d>
          </w:rPr>
          <w:t>3</w:t>
        </w:r>
        <w:r>
          <w:rPr>
            <w:rFonts w:asciiTheme="minorHAnsi" w:eastAsiaTheme="minorEastAsia" w:hAnsiTheme="minorHAnsi" w:cstheme="minorBidi"/>
            <w:noProof/>
            <w:color w:val="auto"/>
          </w:rPr>
          <w:tab/>
        </w:r>
        <w:r w:rsidRPr="001D46A5">
          <w:rPr>
            <w:rStyle w:val="Hyperlink"/>
            <w:noProof/>
          </w:rPr>
          <w:t>Works Cited</w:t>
        </w:r>
        <w:r>
          <w:rPr>
            <w:noProof/>
            <w:webHidden/>
          </w:rPr>
          <w:tab/>
        </w:r>
        <w:r>
          <w:rPr>
            <w:noProof/>
            <w:webHidden/>
          </w:rPr>
          <w:fldChar w:fldCharType="begin"/>
        </w:r>
        <w:r>
          <w:rPr>
            <w:noProof/>
            <w:webHidden/>
          </w:rPr>
          <w:instrText xml:space="preserve"> PAGEREF _Toc28525296 \h </w:instrText>
        </w:r>
        <w:r>
          <w:rPr>
            <w:noProof/>
            <w:webHidden/>
          </w:rPr>
        </w:r>
        <w:r>
          <w:rPr>
            <w:noProof/>
            <w:webHidden/>
          </w:rPr>
          <w:fldChar w:fldCharType="separate"/>
        </w:r>
        <w:r>
          <w:rPr>
            <w:noProof/>
            <w:webHidden/>
          </w:rPr>
          <w:t>15</w:t>
        </w:r>
        <w:r>
          <w:rPr>
            <w:noProof/>
            <w:webHidden/>
          </w:rPr>
          <w:fldChar w:fldCharType="end"/>
        </w:r>
      </w:hyperlink>
    </w:p>
    <w:p w:rsidR="00A6485A" w:rsidRDefault="00365227" w:rsidP="00A918EF">
      <w:r>
        <w:fldChar w:fldCharType="end"/>
      </w:r>
      <w:bookmarkStart w:id="0" w:name="_GoBack"/>
      <w:bookmarkEnd w:id="0"/>
      <w:r w:rsidR="00A918EF">
        <w:br w:type="page"/>
      </w:r>
    </w:p>
    <w:p w:rsidR="00913312" w:rsidRPr="00913312" w:rsidRDefault="008527E3" w:rsidP="00B30AA2">
      <w:pPr>
        <w:pStyle w:val="Heading1"/>
      </w:pPr>
      <w:bookmarkStart w:id="1" w:name="_Toc28525285"/>
      <w:r>
        <w:lastRenderedPageBreak/>
        <w:t>Background and Significance</w:t>
      </w:r>
      <w:bookmarkEnd w:id="1"/>
    </w:p>
    <w:p w:rsidR="00F57656" w:rsidRDefault="008527E3" w:rsidP="00F57656">
      <w:r>
        <w:t xml:space="preserve">This chapter discusses the context </w:t>
      </w:r>
      <w:r w:rsidR="00570168">
        <w:t>behind the</w:t>
      </w:r>
      <w:r>
        <w:t xml:space="preserve"> New </w:t>
      </w:r>
      <w:proofErr w:type="spellStart"/>
      <w:r>
        <w:t>Paltz</w:t>
      </w:r>
      <w:proofErr w:type="spellEnd"/>
      <w:r>
        <w:t xml:space="preserve"> Climate Change Vulnerability Assessment</w:t>
      </w:r>
      <w:r w:rsidR="00570168">
        <w:t xml:space="preserve"> report, including the risks posed by climate change, </w:t>
      </w:r>
      <w:r w:rsidR="0008159D">
        <w:t>existing state and local initiatives to address climate change,</w:t>
      </w:r>
      <w:r w:rsidR="00570168">
        <w:t xml:space="preserve"> and</w:t>
      </w:r>
      <w:r w:rsidR="0008159D">
        <w:t xml:space="preserve"> the</w:t>
      </w:r>
      <w:r w:rsidR="00570168">
        <w:t xml:space="preserve"> value of completing a vulnerability assessment.</w:t>
      </w:r>
    </w:p>
    <w:p w:rsidR="00313059" w:rsidRPr="00987D27" w:rsidRDefault="00313059" w:rsidP="00987D27"/>
    <w:p w:rsidR="00987D27" w:rsidRDefault="00987D27" w:rsidP="00B30AA2">
      <w:pPr>
        <w:pStyle w:val="Heading2"/>
      </w:pPr>
      <w:bookmarkStart w:id="2" w:name="_Toc28525286"/>
      <w:r>
        <w:t>Climate Smart Communities</w:t>
      </w:r>
      <w:bookmarkEnd w:id="2"/>
    </w:p>
    <w:p w:rsidR="00987D27" w:rsidRDefault="00987D27" w:rsidP="00987D27">
      <w:r>
        <w:t>In 2009, New York State launched the Climate Smart Communities (CSC) program, an interagency initiative to encourage local communities to take action towards reducing greenhouse gas emissions and adapting to climate change. The program provides a robust framework for implementing climate-smart actions and issues Climate Smart Community certifications for those who complete a number of those actions. Specifically, a government can become a “Certified Climate Smart Community” if it adopts a resolution containing the 10-point CSC pledge, and completes a set of actions to implement the pledge. The ten required elements of the CSC pledge are as follows:</w:t>
      </w:r>
    </w:p>
    <w:p w:rsidR="00987D27" w:rsidRPr="009D02FF" w:rsidRDefault="00987D27" w:rsidP="00675E71">
      <w:pPr>
        <w:pStyle w:val="Bodylists"/>
      </w:pPr>
      <w:r w:rsidRPr="009D02FF">
        <w:rPr>
          <w:rStyle w:val="BodylistsChar"/>
        </w:rPr>
        <w:t>Build a climate-smart community</w:t>
      </w:r>
      <w:r>
        <w:rPr>
          <w:rStyle w:val="BodylistsChar"/>
        </w:rPr>
        <w:t xml:space="preserve"> by forming</w:t>
      </w:r>
      <w:r w:rsidRPr="009D02FF">
        <w:t xml:space="preserve"> a CSC task force with community members, </w:t>
      </w:r>
      <w:r>
        <w:t xml:space="preserve">and </w:t>
      </w:r>
      <w:r w:rsidRPr="009D02FF">
        <w:t>connect</w:t>
      </w:r>
      <w:r>
        <w:t>ing</w:t>
      </w:r>
      <w:r w:rsidRPr="009D02FF">
        <w:t xml:space="preserve"> to </w:t>
      </w:r>
      <w:r>
        <w:t>larger</w:t>
      </w:r>
      <w:r w:rsidRPr="009D02FF">
        <w:t xml:space="preserve"> climate action networks</w:t>
      </w:r>
    </w:p>
    <w:p w:rsidR="00987D27" w:rsidRPr="009D02FF" w:rsidRDefault="00987D27" w:rsidP="00675E71">
      <w:pPr>
        <w:pStyle w:val="Bodylists"/>
      </w:pPr>
      <w:r w:rsidRPr="009D02FF">
        <w:t>Inventory emissions, set goals, and plan for climate action</w:t>
      </w:r>
    </w:p>
    <w:p w:rsidR="00987D27" w:rsidRPr="009D02FF" w:rsidRDefault="00987D27" w:rsidP="00675E71">
      <w:pPr>
        <w:pStyle w:val="Bodylists"/>
      </w:pPr>
      <w:r w:rsidRPr="009D02FF">
        <w:t>Decrease energy use</w:t>
      </w:r>
    </w:p>
    <w:p w:rsidR="00987D27" w:rsidRDefault="00987D27" w:rsidP="00675E71">
      <w:pPr>
        <w:pStyle w:val="Bodylists"/>
      </w:pPr>
      <w:r>
        <w:t>Shift to clean, renewable energy</w:t>
      </w:r>
    </w:p>
    <w:p w:rsidR="00987D27" w:rsidRDefault="00987D27" w:rsidP="00675E71">
      <w:pPr>
        <w:pStyle w:val="Bodylists"/>
      </w:pPr>
      <w:r>
        <w:t>Use climate-smart materials management</w:t>
      </w:r>
    </w:p>
    <w:p w:rsidR="00987D27" w:rsidRDefault="00987D27" w:rsidP="00675E71">
      <w:pPr>
        <w:pStyle w:val="Bodylists"/>
      </w:pPr>
      <w:r>
        <w:t>Implement climate-smart land use</w:t>
      </w:r>
    </w:p>
    <w:p w:rsidR="00987D27" w:rsidRDefault="00987D27" w:rsidP="00675E71">
      <w:pPr>
        <w:pStyle w:val="Bodylists"/>
      </w:pPr>
      <w:r>
        <w:t>Enhance community resilience to climate change</w:t>
      </w:r>
    </w:p>
    <w:p w:rsidR="00987D27" w:rsidRDefault="00987D27" w:rsidP="00675E71">
      <w:pPr>
        <w:pStyle w:val="Bodylists"/>
      </w:pPr>
      <w:r>
        <w:t>Support a green innovation economy</w:t>
      </w:r>
    </w:p>
    <w:p w:rsidR="00987D27" w:rsidRDefault="00987D27" w:rsidP="00675E71">
      <w:pPr>
        <w:pStyle w:val="Bodylists"/>
      </w:pPr>
      <w:r>
        <w:t xml:space="preserve">Inform and inspire the public </w:t>
      </w:r>
    </w:p>
    <w:p w:rsidR="00987D27" w:rsidRDefault="00987D27" w:rsidP="00675E71">
      <w:pPr>
        <w:pStyle w:val="Bodylists"/>
      </w:pPr>
      <w:r>
        <w:t>Engage in an evolving process of climate action</w:t>
      </w:r>
    </w:p>
    <w:p w:rsidR="00987D27" w:rsidRDefault="00987D27" w:rsidP="00987D27">
      <w:r>
        <w:t xml:space="preserve">The </w:t>
      </w:r>
      <w:hyperlink r:id="rId13" w:anchor="close" w:history="1">
        <w:r>
          <w:rPr>
            <w:rStyle w:val="Hyperlink"/>
          </w:rPr>
          <w:t>CSC framework</w:t>
        </w:r>
      </w:hyperlink>
      <w:r>
        <w:t xml:space="preserve"> details actions to implement each of the 10 “pledge elements (PEs), as well as for two optional categories: Innovation and Performance. A jurisdiction receives points for each action they complete, and there are three levels of the certification depending on their point total: bronze, silver, and gold. </w:t>
      </w:r>
    </w:p>
    <w:p w:rsidR="00987D27" w:rsidRPr="00987D27" w:rsidRDefault="00987D27" w:rsidP="00987D27">
      <w:r>
        <w:t xml:space="preserve">There are numerous benefits to becoming CSC certified. The certification actions foster energy efficiency and independence, public health, environmental quality, ecological restoration, climate change adaptation, and ultimately the sustainability and resilience of the community. In addition to the advantages of the actions themselves, CSC certified communities receive better scores on certain state </w:t>
      </w:r>
      <w:r>
        <w:lastRenderedPageBreak/>
        <w:t>grant applications, state-level recognition for their leadership, and access to a network of other certified communities, resources, trainin</w:t>
      </w:r>
      <w:r w:rsidR="00E8104E">
        <w:t xml:space="preserve">gs, tools, and expert guidance </w:t>
      </w:r>
      <w:sdt>
        <w:sdtPr>
          <w:id w:val="1960214205"/>
          <w:citation/>
        </w:sdtPr>
        <w:sdtEndPr/>
        <w:sdtContent>
          <w:r w:rsidR="00E8104E">
            <w:fldChar w:fldCharType="begin"/>
          </w:r>
          <w:r w:rsidR="00E8104E">
            <w:instrText xml:space="preserve">CITATION Cli19 \l 1033 </w:instrText>
          </w:r>
          <w:r w:rsidR="00E8104E">
            <w:fldChar w:fldCharType="separate"/>
          </w:r>
          <w:r w:rsidR="00E8104E">
            <w:rPr>
              <w:noProof/>
            </w:rPr>
            <w:t>(New York State, 2019)</w:t>
          </w:r>
          <w:r w:rsidR="00E8104E">
            <w:fldChar w:fldCharType="end"/>
          </w:r>
        </w:sdtContent>
      </w:sdt>
      <w:r w:rsidR="00E8104E">
        <w:t>.</w:t>
      </w:r>
    </w:p>
    <w:p w:rsidR="00DC0970" w:rsidRDefault="00DC0970" w:rsidP="00B30AA2">
      <w:pPr>
        <w:pStyle w:val="Heading2"/>
      </w:pPr>
      <w:bookmarkStart w:id="3" w:name="_Toc28525287"/>
      <w:r>
        <w:t xml:space="preserve">New </w:t>
      </w:r>
      <w:proofErr w:type="spellStart"/>
      <w:r>
        <w:t>Paltz</w:t>
      </w:r>
      <w:proofErr w:type="spellEnd"/>
      <w:r w:rsidR="00313059">
        <w:t>: A</w:t>
      </w:r>
      <w:r>
        <w:t xml:space="preserve"> Climate </w:t>
      </w:r>
      <w:r w:rsidR="00313059">
        <w:t>Smart Community</w:t>
      </w:r>
      <w:bookmarkEnd w:id="3"/>
    </w:p>
    <w:p w:rsidR="00523CF9" w:rsidRPr="00A63C8A" w:rsidRDefault="00523CF9" w:rsidP="00523CF9">
      <w:pPr>
        <w:jc w:val="both"/>
      </w:pPr>
      <w:r w:rsidRPr="00A63C8A">
        <w:t xml:space="preserve">New </w:t>
      </w:r>
      <w:proofErr w:type="spellStart"/>
      <w:r w:rsidRPr="00A63C8A">
        <w:t>Paltz</w:t>
      </w:r>
      <w:proofErr w:type="spellEnd"/>
      <w:r w:rsidRPr="00A63C8A">
        <w:t xml:space="preserve"> is an economic and cultural hub of 14,003 people whose economy is rooted in both ecotourism and the SUNY New </w:t>
      </w:r>
      <w:proofErr w:type="spellStart"/>
      <w:r w:rsidRPr="00A63C8A">
        <w:t>Paltz</w:t>
      </w:r>
      <w:proofErr w:type="spellEnd"/>
      <w:r w:rsidRPr="00A63C8A">
        <w:t xml:space="preserve"> campus. Climate change activism in New </w:t>
      </w:r>
      <w:proofErr w:type="spellStart"/>
      <w:r w:rsidRPr="00A63C8A">
        <w:t>Paltz</w:t>
      </w:r>
      <w:proofErr w:type="spellEnd"/>
      <w:r w:rsidRPr="00A63C8A">
        <w:t xml:space="preserve"> is a recent phenomenon: </w:t>
      </w:r>
      <w:r>
        <w:t>T</w:t>
      </w:r>
      <w:r w:rsidRPr="00A63C8A">
        <w:t xml:space="preserve">he Village of New </w:t>
      </w:r>
      <w:proofErr w:type="spellStart"/>
      <w:r w:rsidRPr="00A63C8A">
        <w:t>Paltz</w:t>
      </w:r>
      <w:proofErr w:type="spellEnd"/>
      <w:r w:rsidRPr="00A63C8A">
        <w:t xml:space="preserve"> formed a Global Warming Task Force in 2004 (since disbanded), and a citizen-based Climate Action Coalition was formed in 2007. Both have often focused on consumer choices such as public recycling bins, promoting cloth shopping bags, repair cafes, home composting, and light bulb replacement. The Climate Action Coalition</w:t>
      </w:r>
      <w:r>
        <w:t xml:space="preserve"> (CAC)</w:t>
      </w:r>
      <w:r w:rsidRPr="00A63C8A">
        <w:t xml:space="preserve"> was formed in the wake of the Step It Up campaign event, which showed conspicuous community interest in fighting climate change. Meetings have been held weekly ever since, as CAC has organized highly visible concurrent campaigns and public outreach events.</w:t>
      </w:r>
    </w:p>
    <w:p w:rsidR="00523CF9" w:rsidRPr="00A63C8A" w:rsidRDefault="00523CF9" w:rsidP="00523CF9">
      <w:pPr>
        <w:jc w:val="both"/>
      </w:pPr>
      <w:r w:rsidRPr="00A63C8A">
        <w:t xml:space="preserve">Most recently, the Town and Village successfully applied for a grant from the New York State Department of Environmental Conservation to fund the process of becoming a certified Climate Smart Community. To help municipalities meet the State’s twin goals of reducing emissions and adapting to unavoidable changes, New York State has created the Climate Smart Communities program under the Department of Environmental Conservation (DEC). In 2016, the Town and Village of New </w:t>
      </w:r>
      <w:proofErr w:type="spellStart"/>
      <w:r w:rsidRPr="00A63C8A">
        <w:t>Paltz</w:t>
      </w:r>
      <w:proofErr w:type="spellEnd"/>
      <w:r w:rsidRPr="00A63C8A">
        <w:t xml:space="preserve"> successfully applied to the Climate Smart Communities grants program and </w:t>
      </w:r>
      <w:r>
        <w:t>to complete a range of actions</w:t>
      </w:r>
      <w:r w:rsidRPr="00A63C8A">
        <w:t>:</w:t>
      </w:r>
    </w:p>
    <w:p w:rsidR="00523CF9" w:rsidRPr="00A63C8A" w:rsidRDefault="00523CF9" w:rsidP="00523CF9">
      <w:pPr>
        <w:ind w:left="720"/>
        <w:jc w:val="both"/>
      </w:pPr>
      <w:r w:rsidRPr="00A63C8A">
        <w:t>• Action 6.17: Develop a natural resource inventory,</w:t>
      </w:r>
    </w:p>
    <w:p w:rsidR="00523CF9" w:rsidRPr="00A63C8A" w:rsidRDefault="00523CF9" w:rsidP="00523CF9">
      <w:pPr>
        <w:ind w:left="720"/>
        <w:jc w:val="both"/>
      </w:pPr>
      <w:r w:rsidRPr="00A63C8A">
        <w:t>• Action 7.1: Conduct a vulnerability assessment,</w:t>
      </w:r>
    </w:p>
    <w:p w:rsidR="00523CF9" w:rsidRPr="00A63C8A" w:rsidRDefault="00523CF9" w:rsidP="00523CF9">
      <w:pPr>
        <w:ind w:left="720"/>
        <w:jc w:val="both"/>
      </w:pPr>
      <w:r w:rsidRPr="00A63C8A">
        <w:t>• Action 7.3: Review existing community plans and projects, and</w:t>
      </w:r>
    </w:p>
    <w:p w:rsidR="00523CF9" w:rsidRPr="00A63C8A" w:rsidRDefault="00523CF9" w:rsidP="00523CF9">
      <w:pPr>
        <w:ind w:left="720"/>
        <w:jc w:val="both"/>
      </w:pPr>
      <w:r w:rsidRPr="00A63C8A">
        <w:t>• Action 7.4: Develop climate adaptation strategies.</w:t>
      </w:r>
    </w:p>
    <w:p w:rsidR="00523CF9" w:rsidRPr="00A63C8A" w:rsidRDefault="00523CF9" w:rsidP="00523CF9">
      <w:pPr>
        <w:jc w:val="both"/>
      </w:pPr>
      <w:r w:rsidRPr="00A63C8A">
        <w:t xml:space="preserve">In addition to these actions, </w:t>
      </w:r>
      <w:r>
        <w:t>the Town and Village</w:t>
      </w:r>
      <w:r w:rsidRPr="00A63C8A">
        <w:t xml:space="preserve"> undertake: three Greenhouse Gas Inventories (Town operations, Village operations, and Community), which were completed in 2019, the development of GHG reduction goals, the development of resilience goals, and drafting three Climate Action Plans (again, Town operations, Village operations, and Community). </w:t>
      </w:r>
      <w:r>
        <w:t xml:space="preserve">The Town is now focused on completing </w:t>
      </w:r>
      <w:r w:rsidRPr="00F24518">
        <w:rPr>
          <w:i/>
        </w:rPr>
        <w:t>PE7: Enhance Community Resilience</w:t>
      </w:r>
      <w:r>
        <w:t xml:space="preserve">, starting with this Climate Change Vulnerability Assessment. The next step will be developing and implementing a Climate Adaptation Strategy. </w:t>
      </w:r>
      <w:r w:rsidRPr="00A63C8A">
        <w:t xml:space="preserve">This Vulnerability Assessment will meet the requirements of New </w:t>
      </w:r>
      <w:proofErr w:type="spellStart"/>
      <w:r w:rsidRPr="00A63C8A">
        <w:t>Paltz’s</w:t>
      </w:r>
      <w:proofErr w:type="spellEnd"/>
      <w:r w:rsidRPr="00A63C8A">
        <w:t xml:space="preserve"> Climate Smart Communities grant in line with the climate planning process articulated by DEC. This report will serve as a starting point for municipal discussion on how Town and Village Board can work alongside the Climate Action Coalition to begin helping New </w:t>
      </w:r>
      <w:proofErr w:type="spellStart"/>
      <w:r w:rsidRPr="00A63C8A">
        <w:t>Paltz</w:t>
      </w:r>
      <w:proofErr w:type="spellEnd"/>
      <w:r w:rsidRPr="00A63C8A">
        <w:t xml:space="preserve"> adapt to climate change.</w:t>
      </w:r>
    </w:p>
    <w:p w:rsidR="00313059" w:rsidRPr="00987D27" w:rsidRDefault="00781653" w:rsidP="00B30AA2">
      <w:pPr>
        <w:pStyle w:val="Heading2"/>
      </w:pPr>
      <w:bookmarkStart w:id="4" w:name="_Toc28525288"/>
      <w:r>
        <w:rPr>
          <w:noProof/>
        </w:rPr>
        <w:lastRenderedPageBreak/>
        <mc:AlternateContent>
          <mc:Choice Requires="wps">
            <w:drawing>
              <wp:anchor distT="0" distB="0" distL="114300" distR="114300" simplePos="0" relativeHeight="251655680" behindDoc="1" locked="0" layoutInCell="1" allowOverlap="1" wp14:anchorId="08D94F0C" wp14:editId="13BA39BB">
                <wp:simplePos x="0" y="0"/>
                <wp:positionH relativeFrom="column">
                  <wp:posOffset>4121785</wp:posOffset>
                </wp:positionH>
                <wp:positionV relativeFrom="paragraph">
                  <wp:posOffset>420370</wp:posOffset>
                </wp:positionV>
                <wp:extent cx="2457450" cy="3947160"/>
                <wp:effectExtent l="0" t="0" r="19050" b="15240"/>
                <wp:wrapTight wrapText="bothSides">
                  <wp:wrapPolygon edited="0">
                    <wp:start x="0" y="0"/>
                    <wp:lineTo x="0" y="21579"/>
                    <wp:lineTo x="21600" y="21579"/>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947160"/>
                        </a:xfrm>
                        <a:prstGeom prst="rect">
                          <a:avLst/>
                        </a:prstGeom>
                        <a:solidFill>
                          <a:schemeClr val="bg1">
                            <a:lumMod val="95000"/>
                          </a:schemeClr>
                        </a:solidFill>
                        <a:ln w="19050">
                          <a:solidFill>
                            <a:schemeClr val="tx1">
                              <a:lumMod val="65000"/>
                              <a:lumOff val="35000"/>
                            </a:schemeClr>
                          </a:solidFill>
                          <a:miter lim="800000"/>
                          <a:headEnd/>
                          <a:tailEnd/>
                        </a:ln>
                      </wps:spPr>
                      <wps:txbx>
                        <w:txbxContent>
                          <w:p w:rsidR="00C44DFA" w:rsidRPr="00076AC6" w:rsidRDefault="00C44DFA" w:rsidP="00E21962">
                            <w:pPr>
                              <w:spacing w:line="240" w:lineRule="auto"/>
                              <w:rPr>
                                <w:rFonts w:ascii="Segoe UI Semibold" w:hAnsi="Segoe UI Semibold" w:cs="Segoe UI Semibold"/>
                                <w:b/>
                                <w:sz w:val="20"/>
                              </w:rPr>
                            </w:pPr>
                            <w:r w:rsidRPr="00076AC6">
                              <w:rPr>
                                <w:rFonts w:ascii="Segoe UI Semibold" w:hAnsi="Segoe UI Semibold" w:cs="Segoe UI Semibold"/>
                                <w:b/>
                                <w:sz w:val="20"/>
                              </w:rPr>
                              <w:t>Sensitivity:</w:t>
                            </w:r>
                            <w:r>
                              <w:rPr>
                                <w:rFonts w:ascii="Segoe UI Semibold" w:hAnsi="Segoe UI Semibold" w:cs="Segoe UI Semibold"/>
                                <w:b/>
                                <w:sz w:val="20"/>
                              </w:rPr>
                              <w:t xml:space="preserve"> </w:t>
                            </w:r>
                            <w:r>
                              <w:rPr>
                                <w:sz w:val="20"/>
                              </w:rPr>
                              <w:t>T</w:t>
                            </w:r>
                            <w:r w:rsidRPr="00781653">
                              <w:rPr>
                                <w:sz w:val="20"/>
                              </w:rPr>
                              <w:t xml:space="preserve">he degree to which a </w:t>
                            </w:r>
                            <w:r>
                              <w:rPr>
                                <w:sz w:val="20"/>
                              </w:rPr>
                              <w:t xml:space="preserve">community facet </w:t>
                            </w:r>
                            <w:r w:rsidRPr="00781653">
                              <w:rPr>
                                <w:sz w:val="20"/>
                              </w:rPr>
                              <w:t>is directly or indirectly impacted by climate variability or change.</w:t>
                            </w:r>
                          </w:p>
                          <w:p w:rsidR="00C44DFA" w:rsidRPr="00781653" w:rsidRDefault="00C44DFA" w:rsidP="00E21962">
                            <w:pPr>
                              <w:spacing w:line="240" w:lineRule="auto"/>
                              <w:rPr>
                                <w:sz w:val="20"/>
                              </w:rPr>
                            </w:pPr>
                            <w:r w:rsidRPr="00076AC6">
                              <w:rPr>
                                <w:rFonts w:ascii="Segoe UI Semibold" w:hAnsi="Segoe UI Semibold" w:cs="Segoe UI Semibold"/>
                                <w:b/>
                                <w:sz w:val="20"/>
                              </w:rPr>
                              <w:t>Adaptive Capacity:</w:t>
                            </w:r>
                            <w:r>
                              <w:rPr>
                                <w:rFonts w:ascii="Segoe UI Semibold" w:hAnsi="Segoe UI Semibold" w:cs="Segoe UI Semibold"/>
                                <w:b/>
                                <w:sz w:val="20"/>
                              </w:rPr>
                              <w:t xml:space="preserve"> </w:t>
                            </w:r>
                            <w:r w:rsidRPr="00781653">
                              <w:rPr>
                                <w:sz w:val="20"/>
                              </w:rPr>
                              <w:t xml:space="preserve">The ability of a </w:t>
                            </w:r>
                            <w:r>
                              <w:rPr>
                                <w:sz w:val="20"/>
                              </w:rPr>
                              <w:t>community facet</w:t>
                            </w:r>
                            <w:r w:rsidRPr="00781653">
                              <w:rPr>
                                <w:sz w:val="20"/>
                              </w:rPr>
                              <w:t xml:space="preserve"> to adjust to climate variabilities and extremes to reduce the likelihood of damage, recovery from a destructive event, and leverage opportunities presented by climate change, adverse impacts of climate variability and extremes, adverse impacts of climate variability and extremes.</w:t>
                            </w:r>
                          </w:p>
                          <w:p w:rsidR="00C44DFA" w:rsidRDefault="00C44DFA" w:rsidP="00E21962">
                            <w:pPr>
                              <w:spacing w:line="240" w:lineRule="auto"/>
                              <w:rPr>
                                <w:sz w:val="20"/>
                              </w:rPr>
                            </w:pPr>
                            <w:r w:rsidRPr="00076AC6">
                              <w:rPr>
                                <w:rFonts w:ascii="Segoe UI Semibold" w:hAnsi="Segoe UI Semibold" w:cs="Segoe UI Semibold"/>
                                <w:b/>
                                <w:sz w:val="20"/>
                              </w:rPr>
                              <w:t>Vulnerability:</w:t>
                            </w:r>
                            <w:r>
                              <w:rPr>
                                <w:rFonts w:ascii="Segoe UI Semibold" w:hAnsi="Segoe UI Semibold" w:cs="Segoe UI Semibold"/>
                                <w:b/>
                                <w:sz w:val="20"/>
                              </w:rPr>
                              <w:t xml:space="preserve"> </w:t>
                            </w:r>
                            <w:r w:rsidRPr="00781653">
                              <w:rPr>
                                <w:sz w:val="20"/>
                              </w:rPr>
                              <w:t>The extent to which a community facet is susceptible to, or incapable to manage, adverse impacts of c</w:t>
                            </w:r>
                            <w:r>
                              <w:rPr>
                                <w:sz w:val="20"/>
                              </w:rPr>
                              <w:t>limate variability and extremes; a function of both sensitivity and adaptive capacity.</w:t>
                            </w:r>
                          </w:p>
                          <w:p w:rsidR="00C44DFA" w:rsidRPr="00DE49BA" w:rsidRDefault="009F0974" w:rsidP="00E21962">
                            <w:pPr>
                              <w:spacing w:line="240" w:lineRule="auto"/>
                              <w:rPr>
                                <w:rFonts w:ascii="Segoe UI Semibold" w:hAnsi="Segoe UI Semibold" w:cs="Segoe UI Semibold"/>
                                <w:b/>
                                <w:i/>
                                <w:sz w:val="18"/>
                              </w:rPr>
                            </w:pPr>
                            <w:sdt>
                              <w:sdtPr>
                                <w:rPr>
                                  <w:i/>
                                  <w:sz w:val="18"/>
                                </w:rPr>
                                <w:id w:val="558057306"/>
                                <w:citation/>
                              </w:sdtPr>
                              <w:sdtEndPr/>
                              <w:sdtContent>
                                <w:r w:rsidR="00C44DFA">
                                  <w:rPr>
                                    <w:i/>
                                    <w:sz w:val="18"/>
                                  </w:rPr>
                                  <w:fldChar w:fldCharType="begin"/>
                                </w:r>
                                <w:r w:rsidR="00C44DFA">
                                  <w:rPr>
                                    <w:i/>
                                    <w:sz w:val="18"/>
                                  </w:rPr>
                                  <w:instrText xml:space="preserve"> CITATION Int14 \l 1033 </w:instrText>
                                </w:r>
                                <w:r w:rsidR="00C44DFA">
                                  <w:rPr>
                                    <w:i/>
                                    <w:sz w:val="18"/>
                                  </w:rPr>
                                  <w:fldChar w:fldCharType="separate"/>
                                </w:r>
                                <w:r w:rsidR="00C44DFA">
                                  <w:rPr>
                                    <w:i/>
                                    <w:noProof/>
                                    <w:sz w:val="18"/>
                                  </w:rPr>
                                  <w:t xml:space="preserve"> </w:t>
                                </w:r>
                                <w:r w:rsidR="00C44DFA" w:rsidRPr="00E8104E">
                                  <w:rPr>
                                    <w:noProof/>
                                    <w:sz w:val="18"/>
                                  </w:rPr>
                                  <w:t>(Intergovernmental Panel on Climate Change (IPCC), 2014)</w:t>
                                </w:r>
                                <w:r w:rsidR="00C44DFA">
                                  <w:rPr>
                                    <w:i/>
                                    <w:sz w:val="18"/>
                                  </w:rPr>
                                  <w:fldChar w:fldCharType="end"/>
                                </w:r>
                              </w:sdtContent>
                            </w:sdt>
                            <w:r w:rsidR="00C44DFA" w:rsidRPr="00DE49BA">
                              <w:rPr>
                                <w:i/>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94F0C" id="_x0000_t202" coordsize="21600,21600" o:spt="202" path="m,l,21600r21600,l21600,xe">
                <v:stroke joinstyle="miter"/>
                <v:path gradientshapeok="t" o:connecttype="rect"/>
              </v:shapetype>
              <v:shape id="Text Box 2" o:spid="_x0000_s1026" type="#_x0000_t202" style="position:absolute;left:0;text-align:left;margin-left:324.55pt;margin-top:33.1pt;width:193.5pt;height:31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" fillcolor="#f2f2f2 [3052]" strokecolor="#5a5a5a [2109]" strokeweight="1.5pt">
                <v:textbox>
                  <w:txbxContent>
                    <w:p w:rsidR="00C44DFA" w:rsidRPr="00076AC6" w:rsidRDefault="00C44DFA" w:rsidP="00E21962">
                      <w:pPr>
                        <w:spacing w:line="240" w:lineRule="auto"/>
                        <w:rPr>
                          <w:rFonts w:ascii="Segoe UI Semibold" w:hAnsi="Segoe UI Semibold" w:cs="Segoe UI Semibold"/>
                          <w:b/>
                          <w:sz w:val="20"/>
                        </w:rPr>
                      </w:pPr>
                      <w:r w:rsidRPr="00076AC6">
                        <w:rPr>
                          <w:rFonts w:ascii="Segoe UI Semibold" w:hAnsi="Segoe UI Semibold" w:cs="Segoe UI Semibold"/>
                          <w:b/>
                          <w:sz w:val="20"/>
                        </w:rPr>
                        <w:t>Sensitivity:</w:t>
                      </w:r>
                      <w:r>
                        <w:rPr>
                          <w:rFonts w:ascii="Segoe UI Semibold" w:hAnsi="Segoe UI Semibold" w:cs="Segoe UI Semibold"/>
                          <w:b/>
                          <w:sz w:val="20"/>
                        </w:rPr>
                        <w:t xml:space="preserve"> </w:t>
                      </w:r>
                      <w:r>
                        <w:rPr>
                          <w:sz w:val="20"/>
                        </w:rPr>
                        <w:t>T</w:t>
                      </w:r>
                      <w:r w:rsidRPr="00781653">
                        <w:rPr>
                          <w:sz w:val="20"/>
                        </w:rPr>
                        <w:t xml:space="preserve">he degree to which a </w:t>
                      </w:r>
                      <w:r>
                        <w:rPr>
                          <w:sz w:val="20"/>
                        </w:rPr>
                        <w:t xml:space="preserve">community facet </w:t>
                      </w:r>
                      <w:r w:rsidRPr="00781653">
                        <w:rPr>
                          <w:sz w:val="20"/>
                        </w:rPr>
                        <w:t>is directly or indirectly impacted by climate variability or change.</w:t>
                      </w:r>
                    </w:p>
                    <w:p w:rsidR="00C44DFA" w:rsidRPr="00781653" w:rsidRDefault="00C44DFA" w:rsidP="00E21962">
                      <w:pPr>
                        <w:spacing w:line="240" w:lineRule="auto"/>
                        <w:rPr>
                          <w:sz w:val="20"/>
                        </w:rPr>
                      </w:pPr>
                      <w:r w:rsidRPr="00076AC6">
                        <w:rPr>
                          <w:rFonts w:ascii="Segoe UI Semibold" w:hAnsi="Segoe UI Semibold" w:cs="Segoe UI Semibold"/>
                          <w:b/>
                          <w:sz w:val="20"/>
                        </w:rPr>
                        <w:t>Adaptive Capacity:</w:t>
                      </w:r>
                      <w:r>
                        <w:rPr>
                          <w:rFonts w:ascii="Segoe UI Semibold" w:hAnsi="Segoe UI Semibold" w:cs="Segoe UI Semibold"/>
                          <w:b/>
                          <w:sz w:val="20"/>
                        </w:rPr>
                        <w:t xml:space="preserve"> </w:t>
                      </w:r>
                      <w:r w:rsidRPr="00781653">
                        <w:rPr>
                          <w:sz w:val="20"/>
                        </w:rPr>
                        <w:t xml:space="preserve">The ability of a </w:t>
                      </w:r>
                      <w:r>
                        <w:rPr>
                          <w:sz w:val="20"/>
                        </w:rPr>
                        <w:t>community facet</w:t>
                      </w:r>
                      <w:r w:rsidRPr="00781653">
                        <w:rPr>
                          <w:sz w:val="20"/>
                        </w:rPr>
                        <w:t xml:space="preserve"> to adjust to climate variabilities and extremes to reduce the likelihood of damage, recovery from a destructive event, and leverage opportunities presented by climate change, adverse impacts of climate variability and extremes, adverse impacts of climate variability and extremes.</w:t>
                      </w:r>
                    </w:p>
                    <w:p w:rsidR="00C44DFA" w:rsidRDefault="00C44DFA" w:rsidP="00E21962">
                      <w:pPr>
                        <w:spacing w:line="240" w:lineRule="auto"/>
                        <w:rPr>
                          <w:sz w:val="20"/>
                        </w:rPr>
                      </w:pPr>
                      <w:r w:rsidRPr="00076AC6">
                        <w:rPr>
                          <w:rFonts w:ascii="Segoe UI Semibold" w:hAnsi="Segoe UI Semibold" w:cs="Segoe UI Semibold"/>
                          <w:b/>
                          <w:sz w:val="20"/>
                        </w:rPr>
                        <w:t>Vulnerability:</w:t>
                      </w:r>
                      <w:r>
                        <w:rPr>
                          <w:rFonts w:ascii="Segoe UI Semibold" w:hAnsi="Segoe UI Semibold" w:cs="Segoe UI Semibold"/>
                          <w:b/>
                          <w:sz w:val="20"/>
                        </w:rPr>
                        <w:t xml:space="preserve"> </w:t>
                      </w:r>
                      <w:r w:rsidRPr="00781653">
                        <w:rPr>
                          <w:sz w:val="20"/>
                        </w:rPr>
                        <w:t>The extent to which a community facet is susceptible to, or incapable to manage, adverse impacts of c</w:t>
                      </w:r>
                      <w:r>
                        <w:rPr>
                          <w:sz w:val="20"/>
                        </w:rPr>
                        <w:t>limate variability and extremes; a function of both sensitivity and adaptive capacity.</w:t>
                      </w:r>
                    </w:p>
                    <w:p w:rsidR="00C44DFA" w:rsidRPr="00DE49BA" w:rsidRDefault="009F0974" w:rsidP="00E21962">
                      <w:pPr>
                        <w:spacing w:line="240" w:lineRule="auto"/>
                        <w:rPr>
                          <w:rFonts w:ascii="Segoe UI Semibold" w:hAnsi="Segoe UI Semibold" w:cs="Segoe UI Semibold"/>
                          <w:b/>
                          <w:i/>
                          <w:sz w:val="18"/>
                        </w:rPr>
                      </w:pPr>
                      <w:sdt>
                        <w:sdtPr>
                          <w:rPr>
                            <w:i/>
                            <w:sz w:val="18"/>
                          </w:rPr>
                          <w:id w:val="558057306"/>
                          <w:citation/>
                        </w:sdtPr>
                        <w:sdtEndPr/>
                        <w:sdtContent>
                          <w:r w:rsidR="00C44DFA">
                            <w:rPr>
                              <w:i/>
                              <w:sz w:val="18"/>
                            </w:rPr>
                            <w:fldChar w:fldCharType="begin"/>
                          </w:r>
                          <w:r w:rsidR="00C44DFA">
                            <w:rPr>
                              <w:i/>
                              <w:sz w:val="18"/>
                            </w:rPr>
                            <w:instrText xml:space="preserve"> CITATION Int14 \l 1033 </w:instrText>
                          </w:r>
                          <w:r w:rsidR="00C44DFA">
                            <w:rPr>
                              <w:i/>
                              <w:sz w:val="18"/>
                            </w:rPr>
                            <w:fldChar w:fldCharType="separate"/>
                          </w:r>
                          <w:r w:rsidR="00C44DFA">
                            <w:rPr>
                              <w:i/>
                              <w:noProof/>
                              <w:sz w:val="18"/>
                            </w:rPr>
                            <w:t xml:space="preserve"> </w:t>
                          </w:r>
                          <w:r w:rsidR="00C44DFA" w:rsidRPr="00E8104E">
                            <w:rPr>
                              <w:noProof/>
                              <w:sz w:val="18"/>
                            </w:rPr>
                            <w:t>(Intergovernmental Panel on Climate Change (IPCC), 2014)</w:t>
                          </w:r>
                          <w:r w:rsidR="00C44DFA">
                            <w:rPr>
                              <w:i/>
                              <w:sz w:val="18"/>
                            </w:rPr>
                            <w:fldChar w:fldCharType="end"/>
                          </w:r>
                        </w:sdtContent>
                      </w:sdt>
                      <w:r w:rsidR="00C44DFA" w:rsidRPr="00DE49BA">
                        <w:rPr>
                          <w:i/>
                          <w:sz w:val="18"/>
                        </w:rPr>
                        <w:t xml:space="preserve"> </w:t>
                      </w:r>
                    </w:p>
                  </w:txbxContent>
                </v:textbox>
                <w10:wrap type="tight"/>
              </v:shape>
            </w:pict>
          </mc:Fallback>
        </mc:AlternateContent>
      </w:r>
      <w:r w:rsidR="00313059">
        <w:t xml:space="preserve">Climate </w:t>
      </w:r>
      <w:r w:rsidR="0008159D">
        <w:t xml:space="preserve">Change </w:t>
      </w:r>
      <w:r w:rsidR="00313059">
        <w:t>Vulnerability Assessment</w:t>
      </w:r>
      <w:bookmarkEnd w:id="4"/>
    </w:p>
    <w:p w:rsidR="0080083E" w:rsidRDefault="0054799F" w:rsidP="00DC0970">
      <w:r>
        <w:t xml:space="preserve">A climate change vulnerability assessment identifies </w:t>
      </w:r>
      <w:r w:rsidR="006155CC">
        <w:t xml:space="preserve">community assets, systems, </w:t>
      </w:r>
      <w:r w:rsidR="0039503B">
        <w:t>and populations</w:t>
      </w:r>
      <w:r w:rsidR="006155CC">
        <w:t xml:space="preserve"> </w:t>
      </w:r>
      <w:r w:rsidR="0039503B">
        <w:t xml:space="preserve">that are particularly sensitive to the impacts of climate change. A vulnerability assessment </w:t>
      </w:r>
      <w:r>
        <w:t xml:space="preserve">is a necessary step for developing a climate adaptation </w:t>
      </w:r>
      <w:r w:rsidR="005E2AD8">
        <w:t>strategy,</w:t>
      </w:r>
      <w:r>
        <w:t xml:space="preserve"> </w:t>
      </w:r>
      <w:r w:rsidR="005E2AD8">
        <w:t xml:space="preserve">as </w:t>
      </w:r>
      <w:r>
        <w:t>it characterizes the physical and social elements of a communit</w:t>
      </w:r>
      <w:r w:rsidR="005E2AD8">
        <w:t xml:space="preserve">y for which adaptation actions are needed. </w:t>
      </w:r>
      <w:r w:rsidR="00076AC6">
        <w:t xml:space="preserve">Generally, vulnerability assessments involve the following steps: </w:t>
      </w:r>
    </w:p>
    <w:p w:rsidR="00076AC6" w:rsidRDefault="00076AC6" w:rsidP="00E92594">
      <w:pPr>
        <w:pStyle w:val="ListParagraph"/>
        <w:numPr>
          <w:ilvl w:val="0"/>
          <w:numId w:val="3"/>
        </w:numPr>
      </w:pPr>
      <w:r>
        <w:t>Identify climatic hazards occurring and likely to occur within the geographic boundary of interest</w:t>
      </w:r>
    </w:p>
    <w:p w:rsidR="00076AC6" w:rsidRDefault="00076AC6" w:rsidP="00E92594">
      <w:pPr>
        <w:pStyle w:val="ListParagraph"/>
        <w:numPr>
          <w:ilvl w:val="0"/>
          <w:numId w:val="3"/>
        </w:numPr>
      </w:pPr>
      <w:r>
        <w:t>Identify community assets, systems, and populations currently and likely to be exposed to the identified climatic hazards</w:t>
      </w:r>
    </w:p>
    <w:p w:rsidR="00076AC6" w:rsidRDefault="00076AC6" w:rsidP="00E92594">
      <w:pPr>
        <w:pStyle w:val="ListParagraph"/>
        <w:numPr>
          <w:ilvl w:val="0"/>
          <w:numId w:val="3"/>
        </w:numPr>
      </w:pPr>
      <w:r>
        <w:t>Assess the sensitivity and adaptive capacity of each exposed asset, system, and population to each applicable hazard</w:t>
      </w:r>
      <w:r w:rsidR="00E21962">
        <w:t xml:space="preserve"> </w:t>
      </w:r>
    </w:p>
    <w:p w:rsidR="00E21962" w:rsidRDefault="00E21962" w:rsidP="00E92594">
      <w:pPr>
        <w:pStyle w:val="ListParagraph"/>
        <w:numPr>
          <w:ilvl w:val="0"/>
          <w:numId w:val="3"/>
        </w:numPr>
      </w:pPr>
      <w:r>
        <w:t xml:space="preserve">Use a scoring or prioritization methodology to rank each identified community facet to inform an adaptation strategy. </w:t>
      </w:r>
    </w:p>
    <w:p w:rsidR="00E21962" w:rsidRDefault="006B40C6" w:rsidP="00E21962">
      <w:r>
        <w:t>Several methodologies exist to complete each step.</w:t>
      </w:r>
      <w:r w:rsidR="00514A82">
        <w:t xml:space="preserve"> </w:t>
      </w:r>
      <w:r w:rsidR="00001833">
        <w:t xml:space="preserve">Some methodologies lean more heavily on technical resources and top-town data collection, while others lean more on qualitative input from community </w:t>
      </w:r>
      <w:r w:rsidR="00E8104E">
        <w:t xml:space="preserve">members. </w:t>
      </w:r>
      <w:r w:rsidR="00001833">
        <w:t xml:space="preserve">As there are benefits and drawbacks to every approach, many communities choose a combination of methods that suit their financial, administrative, and political limitations. The methodology chosen by New </w:t>
      </w:r>
      <w:proofErr w:type="spellStart"/>
      <w:r w:rsidR="00001833">
        <w:t>Paltz</w:t>
      </w:r>
      <w:proofErr w:type="spellEnd"/>
      <w:r w:rsidR="00001833">
        <w:t xml:space="preserve"> is further</w:t>
      </w:r>
      <w:r w:rsidR="00E71375">
        <w:t xml:space="preserve"> described in the next chapter.</w:t>
      </w:r>
    </w:p>
    <w:p w:rsidR="00987D27" w:rsidRPr="00DC0970" w:rsidRDefault="00D54B72" w:rsidP="00D54B72">
      <w:pPr>
        <w:spacing w:before="0" w:after="200"/>
      </w:pPr>
      <w:r>
        <w:br w:type="page"/>
      </w:r>
    </w:p>
    <w:p w:rsidR="00E93407" w:rsidRDefault="00DC0D40" w:rsidP="00F50A0A">
      <w:pPr>
        <w:pStyle w:val="Heading1"/>
      </w:pPr>
      <w:bookmarkStart w:id="5" w:name="_Toc28525289"/>
      <w:r w:rsidRPr="00CE2E69">
        <w:lastRenderedPageBreak/>
        <w:t>Vulnerability Assessment</w:t>
      </w:r>
      <w:bookmarkEnd w:id="5"/>
    </w:p>
    <w:p w:rsidR="00DC0D40" w:rsidRDefault="00CA1F26" w:rsidP="00B30AA2">
      <w:pPr>
        <w:pStyle w:val="Heading2"/>
      </w:pPr>
      <w:bookmarkStart w:id="6" w:name="_Toc28525290"/>
      <w:r w:rsidRPr="00FF0D6B">
        <w:t>Methodology</w:t>
      </w:r>
      <w:bookmarkEnd w:id="6"/>
      <w:r w:rsidRPr="00913312">
        <w:t> </w:t>
      </w:r>
    </w:p>
    <w:p w:rsidR="00876A32" w:rsidRPr="00876A32" w:rsidRDefault="004D67B2" w:rsidP="00876A32">
      <w:r>
        <w:t xml:space="preserve">This </w:t>
      </w:r>
      <w:r w:rsidR="00877ACE">
        <w:t xml:space="preserve">framework behind this </w:t>
      </w:r>
      <w:r>
        <w:t xml:space="preserve">vulnerability assessment </w:t>
      </w:r>
      <w:r w:rsidR="00877ACE">
        <w:t xml:space="preserve">is consistent with the requirements of the </w:t>
      </w:r>
      <w:r w:rsidR="00877ACE" w:rsidRPr="00877ACE">
        <w:t xml:space="preserve">New York State </w:t>
      </w:r>
      <w:r w:rsidR="00877ACE">
        <w:t xml:space="preserve">Climate Smart Communities program, </w:t>
      </w:r>
      <w:r w:rsidR="00877ACE" w:rsidRPr="00877ACE">
        <w:t xml:space="preserve">as well as ICLEI’s </w:t>
      </w:r>
      <w:proofErr w:type="spellStart"/>
      <w:r w:rsidR="00877ACE" w:rsidRPr="00877ACE">
        <w:t>GreenClimateCities</w:t>
      </w:r>
      <w:proofErr w:type="spellEnd"/>
      <w:r w:rsidR="00877ACE" w:rsidRPr="00877ACE">
        <w:t xml:space="preserve"> framework. </w:t>
      </w:r>
      <w:r w:rsidR="00877ACE">
        <w:t xml:space="preserve">The process involved </w:t>
      </w:r>
      <w:r>
        <w:t xml:space="preserve">multiple tools and types of data, chosen based on feasibility, comprehensiveness, and replicability for future updates. </w:t>
      </w:r>
      <w:r w:rsidR="00877ACE">
        <w:t>The context and components of the methodology are further described in the following sections.</w:t>
      </w:r>
    </w:p>
    <w:p w:rsidR="00DC0D40" w:rsidRDefault="000200B2" w:rsidP="00913312">
      <w:pPr>
        <w:pStyle w:val="Heading3"/>
      </w:pPr>
      <w:bookmarkStart w:id="7" w:name="_Toc28525291"/>
      <w:r>
        <w:t>NYS Climate Adaptation Framework</w:t>
      </w:r>
      <w:bookmarkEnd w:id="7"/>
    </w:p>
    <w:p w:rsidR="00523CF9" w:rsidRDefault="00523CF9" w:rsidP="00365227">
      <w:r w:rsidRPr="00C13434">
        <w:t xml:space="preserve">The process of climate adaptation assessment is summarized by New York State </w:t>
      </w:r>
      <w:proofErr w:type="spellStart"/>
      <w:r w:rsidRPr="00C13434">
        <w:t>ClimAID</w:t>
      </w:r>
      <w:proofErr w:type="spellEnd"/>
      <w:r w:rsidRPr="00C13434">
        <w:t xml:space="preserve"> program in the eight steps outlined in </w:t>
      </w:r>
      <w:r w:rsidRPr="003D4CAD">
        <w:t xml:space="preserve">Figure </w:t>
      </w:r>
      <w:r w:rsidR="003D4CAD" w:rsidRPr="003D4CAD">
        <w:t>1</w:t>
      </w:r>
      <w:r w:rsidRPr="003D4CAD">
        <w:t>,</w:t>
      </w:r>
      <w:r w:rsidRPr="00C13434">
        <w:t xml:space="preserve"> </w:t>
      </w:r>
      <w:bookmarkStart w:id="8" w:name="_Hlk25756014"/>
      <w:r w:rsidRPr="00C13434">
        <w:t xml:space="preserve">beginning </w:t>
      </w:r>
      <w:bookmarkEnd w:id="8"/>
      <w:r w:rsidRPr="00C13434">
        <w:t xml:space="preserve">with identifying current and future climate hazards that a community faces so that it can then move into cataloguing vulnerabilities to climate change so that opportunities to reduce vulnerability can be prioritized. This Vulnerability Assessment completes Steps 1 through 3 for New </w:t>
      </w:r>
      <w:proofErr w:type="spellStart"/>
      <w:r w:rsidRPr="00C13434">
        <w:t>Paltz</w:t>
      </w:r>
      <w:proofErr w:type="spellEnd"/>
      <w:r w:rsidRPr="00C13434">
        <w:t xml:space="preserve"> — identifying hazards and prioritizing vulnerabilities — while getting the Town and Village started on tackling Step 4 with a set of recommended adaptation strategies.</w:t>
      </w:r>
    </w:p>
    <w:p w:rsidR="00523CF9" w:rsidRDefault="00523CF9" w:rsidP="00523CF9">
      <w:r>
        <w:rPr>
          <w:noProof/>
        </w:rPr>
        <mc:AlternateContent>
          <mc:Choice Requires="wps">
            <w:drawing>
              <wp:anchor distT="45720" distB="45720" distL="114300" distR="114300" simplePos="0" relativeHeight="251661824" behindDoc="0" locked="0" layoutInCell="1" allowOverlap="1" wp14:anchorId="760F3251" wp14:editId="400A4217">
                <wp:simplePos x="0" y="0"/>
                <wp:positionH relativeFrom="column">
                  <wp:posOffset>4392930</wp:posOffset>
                </wp:positionH>
                <wp:positionV relativeFrom="paragraph">
                  <wp:posOffset>5080</wp:posOffset>
                </wp:positionV>
                <wp:extent cx="1981200" cy="1047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47750"/>
                        </a:xfrm>
                        <a:prstGeom prst="rect">
                          <a:avLst/>
                        </a:prstGeom>
                        <a:solidFill>
                          <a:srgbClr val="FFFFFF"/>
                        </a:solidFill>
                        <a:ln w="9525">
                          <a:noFill/>
                          <a:miter lim="800000"/>
                          <a:headEnd/>
                          <a:tailEnd/>
                        </a:ln>
                      </wps:spPr>
                      <wps:txbx>
                        <w:txbxContent>
                          <w:p w:rsidR="00C44DFA" w:rsidRPr="00C13434" w:rsidRDefault="00523CF9" w:rsidP="00523CF9">
                            <w:pPr>
                              <w:rPr>
                                <w:sz w:val="18"/>
                                <w:szCs w:val="18"/>
                              </w:rPr>
                            </w:pPr>
                            <w:r w:rsidRPr="003D4CAD">
                              <w:rPr>
                                <w:sz w:val="18"/>
                                <w:szCs w:val="18"/>
                              </w:rPr>
                              <w:t xml:space="preserve">Figure </w:t>
                            </w:r>
                            <w:r w:rsidR="003D4CAD" w:rsidRPr="003D4CAD">
                              <w:rPr>
                                <w:sz w:val="18"/>
                                <w:szCs w:val="18"/>
                              </w:rPr>
                              <w:t>1</w:t>
                            </w:r>
                            <w:r w:rsidRPr="003D4CAD">
                              <w:rPr>
                                <w:sz w:val="18"/>
                                <w:szCs w:val="18"/>
                              </w:rPr>
                              <w:t>:</w:t>
                            </w:r>
                            <w:r w:rsidRPr="00C13434">
                              <w:rPr>
                                <w:sz w:val="18"/>
                                <w:szCs w:val="18"/>
                              </w:rPr>
                              <w:t xml:space="preserve"> </w:t>
                            </w:r>
                            <w:r w:rsidR="00C44DFA" w:rsidRPr="00C13434">
                              <w:rPr>
                                <w:sz w:val="18"/>
                                <w:szCs w:val="18"/>
                              </w:rPr>
                              <w:t xml:space="preserve">New York State’s </w:t>
                            </w:r>
                            <w:proofErr w:type="spellStart"/>
                            <w:r w:rsidR="00C44DFA" w:rsidRPr="00C13434">
                              <w:rPr>
                                <w:sz w:val="18"/>
                                <w:szCs w:val="18"/>
                              </w:rPr>
                              <w:t>ClimAID</w:t>
                            </w:r>
                            <w:proofErr w:type="spellEnd"/>
                            <w:r w:rsidR="00C44DFA" w:rsidRPr="00C13434">
                              <w:rPr>
                                <w:sz w:val="18"/>
                                <w:szCs w:val="18"/>
                              </w:rPr>
                              <w:t xml:space="preserve"> program</w:t>
                            </w:r>
                            <w:r w:rsidR="00C44DFA">
                              <w:rPr>
                                <w:sz w:val="18"/>
                                <w:szCs w:val="18"/>
                              </w:rPr>
                              <w:t xml:space="preserve"> outlines an 8-step framework for communities to achieve climate adaptive development.</w:t>
                            </w:r>
                            <w:r w:rsidR="00C44DFA" w:rsidRPr="00C13434">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F3251" id="_x0000_s1027" type="#_x0000_t202" style="position:absolute;margin-left:345.9pt;margin-top:.4pt;width:156pt;height:8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" stroked="f">
                <v:textbox>
                  <w:txbxContent>
                    <w:p w:rsidR="00C44DFA" w:rsidRPr="00C13434" w:rsidRDefault="00523CF9" w:rsidP="00523CF9">
                      <w:pPr>
                        <w:rPr>
                          <w:sz w:val="18"/>
                          <w:szCs w:val="18"/>
                        </w:rPr>
                      </w:pPr>
                      <w:r w:rsidRPr="003D4CAD">
                        <w:rPr>
                          <w:sz w:val="18"/>
                          <w:szCs w:val="18"/>
                        </w:rPr>
                        <w:t xml:space="preserve">Figure </w:t>
                      </w:r>
                      <w:r w:rsidR="003D4CAD" w:rsidRPr="003D4CAD">
                        <w:rPr>
                          <w:sz w:val="18"/>
                          <w:szCs w:val="18"/>
                        </w:rPr>
                        <w:t>1</w:t>
                      </w:r>
                      <w:r w:rsidRPr="003D4CAD">
                        <w:rPr>
                          <w:sz w:val="18"/>
                          <w:szCs w:val="18"/>
                        </w:rPr>
                        <w:t>:</w:t>
                      </w:r>
                      <w:r w:rsidRPr="00C13434">
                        <w:rPr>
                          <w:sz w:val="18"/>
                          <w:szCs w:val="18"/>
                        </w:rPr>
                        <w:t xml:space="preserve"> </w:t>
                      </w:r>
                      <w:r w:rsidR="00C44DFA" w:rsidRPr="00C13434">
                        <w:rPr>
                          <w:sz w:val="18"/>
                          <w:szCs w:val="18"/>
                        </w:rPr>
                        <w:t xml:space="preserve">New York State’s </w:t>
                      </w:r>
                      <w:proofErr w:type="spellStart"/>
                      <w:r w:rsidR="00C44DFA" w:rsidRPr="00C13434">
                        <w:rPr>
                          <w:sz w:val="18"/>
                          <w:szCs w:val="18"/>
                        </w:rPr>
                        <w:t>ClimAID</w:t>
                      </w:r>
                      <w:proofErr w:type="spellEnd"/>
                      <w:r w:rsidR="00C44DFA" w:rsidRPr="00C13434">
                        <w:rPr>
                          <w:sz w:val="18"/>
                          <w:szCs w:val="18"/>
                        </w:rPr>
                        <w:t xml:space="preserve"> program</w:t>
                      </w:r>
                      <w:r w:rsidR="00C44DFA">
                        <w:rPr>
                          <w:sz w:val="18"/>
                          <w:szCs w:val="18"/>
                        </w:rPr>
                        <w:t xml:space="preserve"> outlines an 8-step framework for communities to achieve climate adaptive development.</w:t>
                      </w:r>
                      <w:r w:rsidR="00C44DFA" w:rsidRPr="00C13434">
                        <w:rPr>
                          <w:sz w:val="18"/>
                          <w:szCs w:val="18"/>
                        </w:rPr>
                        <w:t xml:space="preserve"> </w:t>
                      </w:r>
                    </w:p>
                  </w:txbxContent>
                </v:textbox>
              </v:shape>
            </w:pict>
          </mc:Fallback>
        </mc:AlternateContent>
      </w:r>
      <w:r>
        <w:rPr>
          <w:rFonts w:ascii="Arial" w:hAnsi="Arial" w:cs="Arial"/>
          <w:noProof/>
          <w:color w:val="000000"/>
          <w:bdr w:val="none" w:sz="0" w:space="0" w:color="auto" w:frame="1"/>
        </w:rPr>
        <w:drawing>
          <wp:inline distT="0" distB="0" distL="0" distR="0" wp14:anchorId="64963F26" wp14:editId="730189FD">
            <wp:extent cx="4348438" cy="425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4267" cy="4282964"/>
                    </a:xfrm>
                    <a:prstGeom prst="rect">
                      <a:avLst/>
                    </a:prstGeom>
                    <a:noFill/>
                    <a:ln>
                      <a:noFill/>
                    </a:ln>
                  </pic:spPr>
                </pic:pic>
              </a:graphicData>
            </a:graphic>
          </wp:inline>
        </w:drawing>
      </w:r>
    </w:p>
    <w:p w:rsidR="000200B2" w:rsidRDefault="000200B2" w:rsidP="00913312">
      <w:pPr>
        <w:pStyle w:val="Heading3"/>
      </w:pPr>
      <w:bookmarkStart w:id="9" w:name="_Toc28525292"/>
      <w:r>
        <w:lastRenderedPageBreak/>
        <w:t xml:space="preserve">ICLEI </w:t>
      </w:r>
      <w:proofErr w:type="spellStart"/>
      <w:r>
        <w:t>GreenClimateCities</w:t>
      </w:r>
      <w:bookmarkEnd w:id="9"/>
      <w:proofErr w:type="spellEnd"/>
    </w:p>
    <w:p w:rsidR="00523CF9" w:rsidRPr="00C13434" w:rsidRDefault="00523CF9" w:rsidP="00365227">
      <w:r w:rsidRPr="00C13434">
        <w:t xml:space="preserve">For this assessment, the New York State </w:t>
      </w:r>
      <w:proofErr w:type="spellStart"/>
      <w:r w:rsidRPr="00C13434">
        <w:t>ClimAID</w:t>
      </w:r>
      <w:proofErr w:type="spellEnd"/>
      <w:r w:rsidRPr="00C13434">
        <w:t xml:space="preserve"> framework is informed by ICLEI’s </w:t>
      </w:r>
      <w:proofErr w:type="spellStart"/>
      <w:r w:rsidRPr="00C13434">
        <w:t>GreenClimateCities</w:t>
      </w:r>
      <w:proofErr w:type="spellEnd"/>
      <w:r w:rsidRPr="00C13434">
        <w:t xml:space="preserve"> methodology for integrated climate action. Because </w:t>
      </w:r>
      <w:proofErr w:type="spellStart"/>
      <w:r w:rsidRPr="00C13434">
        <w:t>GreenClimateCities</w:t>
      </w:r>
      <w:proofErr w:type="spellEnd"/>
      <w:r w:rsidRPr="00C13434">
        <w:t xml:space="preserve">’ steps track closely to the </w:t>
      </w:r>
      <w:proofErr w:type="spellStart"/>
      <w:r w:rsidRPr="00C13434">
        <w:t>ClimAID</w:t>
      </w:r>
      <w:proofErr w:type="spellEnd"/>
      <w:r w:rsidRPr="00C13434">
        <w:t xml:space="preserve"> framework, the combination is thought to complement each other by integrating New </w:t>
      </w:r>
      <w:proofErr w:type="spellStart"/>
      <w:r w:rsidRPr="00C13434">
        <w:t>Paltz’s</w:t>
      </w:r>
      <w:proofErr w:type="spellEnd"/>
      <w:r w:rsidRPr="00C13434">
        <w:t xml:space="preserve"> previous greenhouse gas emissions-reduction work (tackling mitigation) with the Vulnerability Assessment addressing climate adaptation (see </w:t>
      </w:r>
      <w:r w:rsidRPr="003D4CAD">
        <w:t xml:space="preserve">Figure </w:t>
      </w:r>
      <w:r w:rsidR="003D4CAD" w:rsidRPr="003D4CAD">
        <w:t>2</w:t>
      </w:r>
      <w:r w:rsidRPr="003D4CAD">
        <w:t>).</w:t>
      </w:r>
      <w:r w:rsidRPr="00C13434">
        <w:t xml:space="preserve"> The additional benefits to incorporating </w:t>
      </w:r>
      <w:proofErr w:type="spellStart"/>
      <w:r w:rsidRPr="00C13434">
        <w:t>GreenClimateCities</w:t>
      </w:r>
      <w:proofErr w:type="spellEnd"/>
      <w:r w:rsidRPr="00C13434">
        <w:t xml:space="preserve"> are process guidance tailor-made for local governments to “analyze, act, and accelerate” climate action that builds on </w:t>
      </w:r>
      <w:proofErr w:type="spellStart"/>
      <w:r w:rsidRPr="00C13434">
        <w:t>ClimAID</w:t>
      </w:r>
      <w:proofErr w:type="spellEnd"/>
      <w:r w:rsidRPr="00C13434">
        <w:t xml:space="preserve"> to include measuring, reporting and verification, integrating climate adaptation and climate mitigation activities that New </w:t>
      </w:r>
      <w:proofErr w:type="spellStart"/>
      <w:r w:rsidRPr="00C13434">
        <w:t>Paltz</w:t>
      </w:r>
      <w:proofErr w:type="spellEnd"/>
      <w:r w:rsidRPr="00C13434">
        <w:t xml:space="preserve"> currently has underway, and including New </w:t>
      </w:r>
      <w:proofErr w:type="spellStart"/>
      <w:r w:rsidRPr="00C13434">
        <w:t>Paltz</w:t>
      </w:r>
      <w:proofErr w:type="spellEnd"/>
      <w:r w:rsidRPr="00C13434">
        <w:t xml:space="preserve"> in a global network of cities, towns, and regions committed to tackling climate change. Under </w:t>
      </w:r>
      <w:proofErr w:type="spellStart"/>
      <w:r w:rsidRPr="00C13434">
        <w:t>GreenClimate</w:t>
      </w:r>
      <w:proofErr w:type="spellEnd"/>
      <w:r w:rsidRPr="00C13434">
        <w:t xml:space="preserve"> Cities, New </w:t>
      </w:r>
      <w:proofErr w:type="spellStart"/>
      <w:r w:rsidRPr="00C13434">
        <w:t>Paltz</w:t>
      </w:r>
      <w:proofErr w:type="spellEnd"/>
      <w:r w:rsidRPr="00C13434">
        <w:t xml:space="preserve"> has already taken the important “Analyze” step to a) Commit and mobilize action (see </w:t>
      </w:r>
      <w:r w:rsidR="00365227">
        <w:t>Section 1.4</w:t>
      </w:r>
      <w:r w:rsidRPr="00C13434">
        <w:t xml:space="preserve">) and with this Vulnerability Assessment moves the Town and Village into b) Research and assess, and c) Analyze and set baseline, bringing climate adaptation components in line with progress made on mitigation with New </w:t>
      </w:r>
      <w:proofErr w:type="spellStart"/>
      <w:r w:rsidRPr="00C13434">
        <w:t>Paltz’s</w:t>
      </w:r>
      <w:proofErr w:type="spellEnd"/>
      <w:r w:rsidRPr="00C13434">
        <w:t xml:space="preserve"> greenhouse gas inventory. Armed with the data in the inventory coupled with this report, New </w:t>
      </w:r>
      <w:proofErr w:type="spellStart"/>
      <w:r w:rsidRPr="00C13434">
        <w:t>Paltz</w:t>
      </w:r>
      <w:proofErr w:type="spellEnd"/>
      <w:r w:rsidRPr="00C13434">
        <w:t xml:space="preserve"> is well positioned to move into the “Act” phases. </w:t>
      </w:r>
    </w:p>
    <w:p w:rsidR="00523CF9" w:rsidRPr="00365227" w:rsidRDefault="00523CF9" w:rsidP="00365227">
      <w:r>
        <w:rPr>
          <w:noProof/>
        </w:rPr>
        <mc:AlternateContent>
          <mc:Choice Requires="wps">
            <w:drawing>
              <wp:anchor distT="45720" distB="45720" distL="114300" distR="114300" simplePos="0" relativeHeight="251660800" behindDoc="0" locked="0" layoutInCell="1" allowOverlap="1" wp14:anchorId="0E514AB3" wp14:editId="5FAB5EFC">
                <wp:simplePos x="0" y="0"/>
                <wp:positionH relativeFrom="column">
                  <wp:posOffset>4116705</wp:posOffset>
                </wp:positionH>
                <wp:positionV relativeFrom="paragraph">
                  <wp:posOffset>516254</wp:posOffset>
                </wp:positionV>
                <wp:extent cx="2162175" cy="199072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990725"/>
                        </a:xfrm>
                        <a:prstGeom prst="rect">
                          <a:avLst/>
                        </a:prstGeom>
                        <a:solidFill>
                          <a:srgbClr val="FFFFFF"/>
                        </a:solidFill>
                        <a:ln w="9525">
                          <a:noFill/>
                          <a:miter lim="800000"/>
                          <a:headEnd/>
                          <a:tailEnd/>
                        </a:ln>
                      </wps:spPr>
                      <wps:txbx>
                        <w:txbxContent>
                          <w:p w:rsidR="00C44DFA" w:rsidRPr="00C13434" w:rsidRDefault="00C44DFA" w:rsidP="00523CF9">
                            <w:pPr>
                              <w:rPr>
                                <w:sz w:val="18"/>
                                <w:szCs w:val="18"/>
                              </w:rPr>
                            </w:pPr>
                            <w:r w:rsidRPr="003D4CAD">
                              <w:rPr>
                                <w:sz w:val="18"/>
                                <w:szCs w:val="18"/>
                              </w:rPr>
                              <w:t xml:space="preserve">Figure </w:t>
                            </w:r>
                            <w:r w:rsidR="003D4CAD" w:rsidRPr="003D4CAD">
                              <w:rPr>
                                <w:sz w:val="18"/>
                                <w:szCs w:val="18"/>
                              </w:rPr>
                              <w:t>2</w:t>
                            </w:r>
                            <w:r w:rsidRPr="003D4CAD">
                              <w:rPr>
                                <w:sz w:val="18"/>
                                <w:szCs w:val="18"/>
                              </w:rPr>
                              <w:t>:</w:t>
                            </w:r>
                            <w:r w:rsidRPr="00C13434">
                              <w:rPr>
                                <w:sz w:val="18"/>
                                <w:szCs w:val="18"/>
                              </w:rPr>
                              <w:t xml:space="preserve"> </w:t>
                            </w:r>
                            <w:r>
                              <w:rPr>
                                <w:sz w:val="18"/>
                                <w:szCs w:val="18"/>
                              </w:rPr>
                              <w:t xml:space="preserve">ICLEI’s </w:t>
                            </w:r>
                            <w:proofErr w:type="spellStart"/>
                            <w:r>
                              <w:rPr>
                                <w:sz w:val="18"/>
                                <w:szCs w:val="18"/>
                              </w:rPr>
                              <w:t>GreenClimateCities</w:t>
                            </w:r>
                            <w:proofErr w:type="spellEnd"/>
                            <w:r>
                              <w:rPr>
                                <w:sz w:val="18"/>
                                <w:szCs w:val="18"/>
                              </w:rPr>
                              <w:t xml:space="preserve"> framework follows an Analyze-Act-Accelerate pathway for integrated climate action that incorporates GHG emissions reduction, climate adaptation actions, and equitable, inclusive decision-making.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14AB3" id="_x0000_s1028" type="#_x0000_t202" style="position:absolute;margin-left:324.15pt;margin-top:40.65pt;width:170.25pt;height:156.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" stroked="f">
                <v:textbox>
                  <w:txbxContent>
                    <w:p w:rsidR="00C44DFA" w:rsidRPr="00C13434" w:rsidRDefault="00C44DFA" w:rsidP="00523CF9">
                      <w:pPr>
                        <w:rPr>
                          <w:sz w:val="18"/>
                          <w:szCs w:val="18"/>
                        </w:rPr>
                      </w:pPr>
                      <w:r w:rsidRPr="003D4CAD">
                        <w:rPr>
                          <w:sz w:val="18"/>
                          <w:szCs w:val="18"/>
                        </w:rPr>
                        <w:t xml:space="preserve">Figure </w:t>
                      </w:r>
                      <w:r w:rsidR="003D4CAD" w:rsidRPr="003D4CAD">
                        <w:rPr>
                          <w:sz w:val="18"/>
                          <w:szCs w:val="18"/>
                        </w:rPr>
                        <w:t>2</w:t>
                      </w:r>
                      <w:r w:rsidRPr="003D4CAD">
                        <w:rPr>
                          <w:sz w:val="18"/>
                          <w:szCs w:val="18"/>
                        </w:rPr>
                        <w:t>:</w:t>
                      </w:r>
                      <w:r w:rsidRPr="00C13434">
                        <w:rPr>
                          <w:sz w:val="18"/>
                          <w:szCs w:val="18"/>
                        </w:rPr>
                        <w:t xml:space="preserve"> </w:t>
                      </w:r>
                      <w:r>
                        <w:rPr>
                          <w:sz w:val="18"/>
                          <w:szCs w:val="18"/>
                        </w:rPr>
                        <w:t xml:space="preserve">ICLEI’s </w:t>
                      </w:r>
                      <w:proofErr w:type="spellStart"/>
                      <w:r>
                        <w:rPr>
                          <w:sz w:val="18"/>
                          <w:szCs w:val="18"/>
                        </w:rPr>
                        <w:t>GreenClimateCities</w:t>
                      </w:r>
                      <w:proofErr w:type="spellEnd"/>
                      <w:r>
                        <w:rPr>
                          <w:sz w:val="18"/>
                          <w:szCs w:val="18"/>
                        </w:rPr>
                        <w:t xml:space="preserve"> framework follows an Analyze-Act-Accelerate pathway for integrated climate action that incorporates GHG emissions reduction, climate adaptation actions, and equitable, inclusive decision-making.</w:t>
                      </w:r>
                    </w:p>
                  </w:txbxContent>
                </v:textbox>
              </v:shape>
            </w:pict>
          </mc:Fallback>
        </mc:AlternateContent>
      </w:r>
      <w:r>
        <w:rPr>
          <w:rFonts w:ascii="Arial" w:hAnsi="Arial" w:cs="Arial"/>
          <w:noProof/>
          <w:color w:val="000000"/>
          <w:bdr w:val="none" w:sz="0" w:space="0" w:color="auto" w:frame="1"/>
        </w:rPr>
        <w:drawing>
          <wp:inline distT="0" distB="0" distL="0" distR="0" wp14:anchorId="4C67DEF6" wp14:editId="47E14F0B">
            <wp:extent cx="4467225" cy="441067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8430" t="6162" r="18269" b="16303"/>
                    <a:stretch/>
                  </pic:blipFill>
                  <pic:spPr bwMode="auto">
                    <a:xfrm>
                      <a:off x="0" y="0"/>
                      <a:ext cx="4474349" cy="4417712"/>
                    </a:xfrm>
                    <a:prstGeom prst="rect">
                      <a:avLst/>
                    </a:prstGeom>
                    <a:noFill/>
                    <a:ln>
                      <a:noFill/>
                    </a:ln>
                    <a:extLst>
                      <a:ext uri="{53640926-AAD7-44D8-BBD7-CCE9431645EC}">
                        <a14:shadowObscured xmlns:a14="http://schemas.microsoft.com/office/drawing/2010/main"/>
                      </a:ext>
                    </a:extLst>
                  </pic:spPr>
                </pic:pic>
              </a:graphicData>
            </a:graphic>
          </wp:inline>
        </w:drawing>
      </w:r>
    </w:p>
    <w:p w:rsidR="00365227" w:rsidRDefault="00365227">
      <w:pPr>
        <w:spacing w:before="0" w:after="200"/>
        <w:rPr>
          <w:rFonts w:ascii="Century Gothic" w:eastAsia="Times New Roman" w:hAnsi="Century Gothic" w:cs="Arial"/>
          <w:smallCaps/>
          <w:color w:val="008887"/>
          <w:sz w:val="32"/>
          <w:szCs w:val="32"/>
        </w:rPr>
      </w:pPr>
      <w:r>
        <w:rPr>
          <w:smallCaps/>
        </w:rPr>
        <w:br w:type="page"/>
      </w:r>
    </w:p>
    <w:p w:rsidR="00DC0D40" w:rsidRPr="0014351B" w:rsidRDefault="00CA1F26" w:rsidP="00913312">
      <w:pPr>
        <w:pStyle w:val="Heading3"/>
        <w:rPr>
          <w:smallCaps/>
        </w:rPr>
      </w:pPr>
      <w:bookmarkStart w:id="10" w:name="_Toc28525293"/>
      <w:r w:rsidRPr="0014351B">
        <w:rPr>
          <w:smallCaps/>
        </w:rPr>
        <w:lastRenderedPageBreak/>
        <w:t>Temperate</w:t>
      </w:r>
      <w:bookmarkEnd w:id="10"/>
    </w:p>
    <w:p w:rsidR="00E93407" w:rsidRDefault="0014351B" w:rsidP="00CE2E69">
      <w:r>
        <w:t>TEMPERATE</w:t>
      </w:r>
      <w:r w:rsidR="00C376CE">
        <w:t xml:space="preserve"> is an online tool </w:t>
      </w:r>
      <w:r w:rsidR="0066715B">
        <w:t xml:space="preserve">created by </w:t>
      </w:r>
      <w:proofErr w:type="spellStart"/>
      <w:r w:rsidR="0066715B">
        <w:t>Azavea</w:t>
      </w:r>
      <w:proofErr w:type="spellEnd"/>
      <w:r w:rsidR="0066715B">
        <w:t>, Inc. and ICLEI to</w:t>
      </w:r>
      <w:r w:rsidR="00C376CE">
        <w:t xml:space="preserve"> assist communities in conducting a climate change vulnerability assessment and developing an adaptation strategy</w:t>
      </w:r>
      <w:r w:rsidR="0066715B">
        <w:t xml:space="preserve">. </w:t>
      </w:r>
      <w:r w:rsidR="002C2D1D">
        <w:t xml:space="preserve">The </w:t>
      </w:r>
      <w:r w:rsidR="00CF5A23">
        <w:t>tool identified</w:t>
      </w:r>
      <w:r w:rsidR="009A4D39">
        <w:t xml:space="preserve"> potential </w:t>
      </w:r>
      <w:r w:rsidR="002C2D1D">
        <w:t>climate ha</w:t>
      </w:r>
      <w:r w:rsidR="009A4D39">
        <w:t>zards</w:t>
      </w:r>
      <w:r w:rsidR="00CF5A23">
        <w:t xml:space="preserve"> </w:t>
      </w:r>
      <w:r w:rsidR="003D4CAD">
        <w:t xml:space="preserve">specifically </w:t>
      </w:r>
      <w:r w:rsidR="00CF5A23">
        <w:t xml:space="preserve">in New </w:t>
      </w:r>
      <w:proofErr w:type="spellStart"/>
      <w:r w:rsidR="00CF5A23">
        <w:t>Paltz</w:t>
      </w:r>
      <w:proofErr w:type="spellEnd"/>
      <w:r w:rsidR="00CF5A23">
        <w:t xml:space="preserve">, </w:t>
      </w:r>
      <w:r w:rsidR="002C2D1D">
        <w:t xml:space="preserve">based on the </w:t>
      </w:r>
      <w:r w:rsidR="00CF5A23">
        <w:t xml:space="preserve">geographic regions </w:t>
      </w:r>
      <w:r w:rsidR="003D4CAD">
        <w:t xml:space="preserve">(latitude </w:t>
      </w:r>
      <w:r w:rsidR="00B35EF8">
        <w:t xml:space="preserve">41.74° N, </w:t>
      </w:r>
      <w:r w:rsidR="003D4CAD">
        <w:t>longitude</w:t>
      </w:r>
      <w:r w:rsidR="00B35EF8">
        <w:t xml:space="preserve"> 74.09° W</w:t>
      </w:r>
      <w:r w:rsidR="003D4CAD">
        <w:t xml:space="preserve">) </w:t>
      </w:r>
      <w:r w:rsidR="00CF5A23">
        <w:t xml:space="preserve">and findings of the </w:t>
      </w:r>
      <w:r w:rsidR="002C2D1D">
        <w:t xml:space="preserve">2014 National Climate Assessment. </w:t>
      </w:r>
      <w:r w:rsidR="003D4CAD">
        <w:t xml:space="preserve"> </w:t>
      </w:r>
      <w:r w:rsidR="0066715B">
        <w:t xml:space="preserve">For projecting </w:t>
      </w:r>
      <w:r w:rsidR="002C2D1D">
        <w:t>how the magnitude and/or frequency of those hazards might change under different emissions scenarios,</w:t>
      </w:r>
      <w:r w:rsidR="00067B26">
        <w:t xml:space="preserve"> TEMPERATE </w:t>
      </w:r>
      <w:r w:rsidR="002C2D1D">
        <w:t xml:space="preserve">uses historical </w:t>
      </w:r>
      <w:r w:rsidR="0066715B">
        <w:t xml:space="preserve">climate data from </w:t>
      </w:r>
      <w:r w:rsidR="0066715B" w:rsidRPr="0066715B">
        <w:t xml:space="preserve">1,000 </w:t>
      </w:r>
      <w:r w:rsidR="002C2D1D">
        <w:t>U.S. cities and projects under two</w:t>
      </w:r>
      <w:r w:rsidR="0066715B" w:rsidRPr="0066715B">
        <w:t xml:space="preserve"> popular carbon emission scenarios </w:t>
      </w:r>
      <w:r w:rsidR="002C2D1D">
        <w:t>through the end of the century</w:t>
      </w:r>
      <w:r w:rsidR="0066715B" w:rsidRPr="0066715B">
        <w:t xml:space="preserve">. To provide the most detail possible, </w:t>
      </w:r>
      <w:r w:rsidRPr="0066715B">
        <w:t>TEMPERATE</w:t>
      </w:r>
      <w:r w:rsidR="0066715B" w:rsidRPr="0066715B">
        <w:t xml:space="preserve"> averages more than 30 climate models provided by a variety of research</w:t>
      </w:r>
      <w:r w:rsidR="009A4D39">
        <w:t xml:space="preserve"> institutions around the globe</w:t>
      </w:r>
      <w:r w:rsidR="007E5D5A">
        <w:t xml:space="preserve">. </w:t>
      </w:r>
    </w:p>
    <w:p w:rsidR="00850DD2" w:rsidRDefault="00850DD2" w:rsidP="00CE2E69">
      <w:r>
        <w:t xml:space="preserve">In addition to identifying hazards, </w:t>
      </w:r>
      <w:r w:rsidR="0014351B">
        <w:t>TEMPERATE</w:t>
      </w:r>
      <w:r>
        <w:t xml:space="preserve"> displays which community systems are likely to be impacted by each hazard. The nexus between climate hazards and community systems is based on the </w:t>
      </w:r>
      <w:r w:rsidR="00085EBC">
        <w:t>Climate Risk and Adaptation Framework and Taxonomy (CRAFT) developed by</w:t>
      </w:r>
      <w:r>
        <w:t xml:space="preserve"> </w:t>
      </w:r>
      <w:r w:rsidR="00085EBC">
        <w:t xml:space="preserve">the </w:t>
      </w:r>
      <w:r>
        <w:t>Global Covenant of Mayors for Climate and E</w:t>
      </w:r>
      <w:r w:rsidR="0047275D">
        <w:t>nergy (</w:t>
      </w:r>
      <w:proofErr w:type="spellStart"/>
      <w:r w:rsidR="0047275D">
        <w:t>GCoM</w:t>
      </w:r>
      <w:proofErr w:type="spellEnd"/>
      <w:r w:rsidR="0047275D">
        <w:t>), C40 Cities, and ARUP</w:t>
      </w:r>
      <w:sdt>
        <w:sdtPr>
          <w:id w:val="1146471795"/>
          <w:citation/>
        </w:sdtPr>
        <w:sdtEndPr/>
        <w:sdtContent>
          <w:r w:rsidR="00085EBC">
            <w:fldChar w:fldCharType="begin"/>
          </w:r>
          <w:r w:rsidR="0047275D">
            <w:instrText xml:space="preserve">CITATION Glo19 \l 1033 </w:instrText>
          </w:r>
          <w:r w:rsidR="00085EBC">
            <w:fldChar w:fldCharType="separate"/>
          </w:r>
          <w:r w:rsidR="0047275D">
            <w:rPr>
              <w:noProof/>
            </w:rPr>
            <w:t xml:space="preserve"> (GCoM, 2019)</w:t>
          </w:r>
          <w:r w:rsidR="00085EBC">
            <w:fldChar w:fldCharType="end"/>
          </w:r>
        </w:sdtContent>
      </w:sdt>
      <w:r w:rsidR="0047275D">
        <w:t>.</w:t>
      </w:r>
    </w:p>
    <w:p w:rsidR="005C3D6E" w:rsidRPr="00DC0D40" w:rsidRDefault="005C3D6E" w:rsidP="00CE2E69"/>
    <w:p w:rsidR="00DC0D40" w:rsidRPr="00DC0D40" w:rsidRDefault="00DC0D40" w:rsidP="00B30AA2">
      <w:pPr>
        <w:pStyle w:val="Heading2"/>
        <w:rPr>
          <w:rFonts w:ascii="Times New Roman" w:hAnsi="Times New Roman" w:cs="Times New Roman"/>
          <w:sz w:val="24"/>
        </w:rPr>
      </w:pPr>
      <w:bookmarkStart w:id="11" w:name="_Toc28525294"/>
      <w:r w:rsidRPr="00DC0D40">
        <w:t>Results</w:t>
      </w:r>
      <w:bookmarkEnd w:id="11"/>
    </w:p>
    <w:p w:rsidR="00DC0D40" w:rsidRPr="0014351B" w:rsidRDefault="00DC0D40" w:rsidP="00206CCF">
      <w:pPr>
        <w:pStyle w:val="Heading3"/>
        <w:rPr>
          <w:smallCaps/>
        </w:rPr>
      </w:pPr>
      <w:r w:rsidRPr="00DC0D40">
        <w:br/>
      </w:r>
      <w:bookmarkStart w:id="12" w:name="_Toc28525295"/>
      <w:r w:rsidR="0014351B" w:rsidRPr="0014351B">
        <w:rPr>
          <w:smallCaps/>
        </w:rPr>
        <w:t>Temperate</w:t>
      </w:r>
      <w:bookmarkEnd w:id="12"/>
    </w:p>
    <w:p w:rsidR="000200B2" w:rsidRDefault="0047275D" w:rsidP="0047275D">
      <w:pPr>
        <w:pStyle w:val="Heading4"/>
      </w:pPr>
      <w:r>
        <w:t>Climate Hazards</w:t>
      </w:r>
    </w:p>
    <w:p w:rsidR="00523CF9" w:rsidRPr="001A16DD" w:rsidRDefault="00523CF9" w:rsidP="00523CF9">
      <w:r w:rsidRPr="001A16DD">
        <w:t xml:space="preserve">Reliable climate data can help decision makers plan for impacts. For this reason, both New York State </w:t>
      </w:r>
      <w:proofErr w:type="spellStart"/>
      <w:r w:rsidRPr="001A16DD">
        <w:t>ClimAID</w:t>
      </w:r>
      <w:proofErr w:type="spellEnd"/>
      <w:r w:rsidRPr="001A16DD">
        <w:t xml:space="preserve"> and the ICLEI </w:t>
      </w:r>
      <w:proofErr w:type="spellStart"/>
      <w:r w:rsidRPr="001A16DD">
        <w:t>GreenClimateCities</w:t>
      </w:r>
      <w:proofErr w:type="spellEnd"/>
      <w:r w:rsidRPr="001A16DD">
        <w:t xml:space="preserve"> frameworks begin with gathering and analyzing data for how precipitation, temperature, and other climate-related elements in New </w:t>
      </w:r>
      <w:proofErr w:type="spellStart"/>
      <w:r w:rsidRPr="001A16DD">
        <w:t>Paltz</w:t>
      </w:r>
      <w:proofErr w:type="spellEnd"/>
      <w:r w:rsidRPr="001A16DD">
        <w:t xml:space="preserve"> are anticipated to change over time. This Vulnerability Assessment looked at </w:t>
      </w:r>
      <w:r w:rsidRPr="00F03A6B">
        <w:rPr>
          <w:smallCaps/>
        </w:rPr>
        <w:t>Temperate</w:t>
      </w:r>
      <w:r w:rsidRPr="001A16DD">
        <w:t xml:space="preserve"> tool data from </w:t>
      </w:r>
      <w:r w:rsidR="002A5048">
        <w:t>31</w:t>
      </w:r>
      <w:r w:rsidRPr="001A16DD">
        <w:t xml:space="preserve"> climate models and presented the results at a July 2019 Town and Village Board workshop. The results here reveal these top-level takeaways (see </w:t>
      </w:r>
      <w:r w:rsidRPr="003D4CAD">
        <w:t xml:space="preserve">Appendix </w:t>
      </w:r>
      <w:r w:rsidR="003D4CAD" w:rsidRPr="003D4CAD">
        <w:t>A</w:t>
      </w:r>
      <w:r w:rsidRPr="003D4CAD">
        <w:t>)</w:t>
      </w:r>
      <w:r w:rsidRPr="001A16DD">
        <w:t xml:space="preserve"> for full results).</w:t>
      </w:r>
    </w:p>
    <w:p w:rsidR="00523CF9" w:rsidRDefault="00523CF9" w:rsidP="00523CF9">
      <w:r w:rsidRPr="001A16DD">
        <w:t xml:space="preserve">Because all the latest evidence points toward the world on track to exceed 3 degrees Celsius of warming (5.4 degrees Fahrenheit), it is important for New </w:t>
      </w:r>
      <w:proofErr w:type="spellStart"/>
      <w:r w:rsidRPr="001A16DD">
        <w:t>Paltz</w:t>
      </w:r>
      <w:proofErr w:type="spellEnd"/>
      <w:r w:rsidRPr="001A16DD">
        <w:t xml:space="preserve"> to know what the climate data says for this likely high-emissions scenario. For this reason, the bulk of the climate data relayed here is presented for a warmer, more variable, and more likely New </w:t>
      </w:r>
      <w:proofErr w:type="spellStart"/>
      <w:r w:rsidRPr="001A16DD">
        <w:t>Paltz</w:t>
      </w:r>
      <w:proofErr w:type="spellEnd"/>
      <w:r w:rsidRPr="001A16DD">
        <w:t xml:space="preserve"> climate. Table </w:t>
      </w:r>
      <w:r w:rsidR="003D4CAD">
        <w:t>1</w:t>
      </w:r>
      <w:r w:rsidRPr="001A16DD">
        <w:t xml:space="preserve"> categorizes the most relevant climate indicators for the Town by their amount of change.</w:t>
      </w:r>
    </w:p>
    <w:p w:rsidR="003D4CAD" w:rsidRDefault="003D4CAD" w:rsidP="00523CF9"/>
    <w:p w:rsidR="003D4CAD" w:rsidRDefault="003D4CAD" w:rsidP="00523CF9"/>
    <w:p w:rsidR="003D4CAD" w:rsidRDefault="003D4CAD" w:rsidP="00523CF9"/>
    <w:p w:rsidR="003D4CAD" w:rsidRDefault="003D4CAD" w:rsidP="00523CF9"/>
    <w:p w:rsidR="003D4CAD" w:rsidRDefault="003D4CAD" w:rsidP="00523CF9"/>
    <w:p w:rsidR="00523CF9" w:rsidRPr="00FD224E" w:rsidRDefault="00523CF9" w:rsidP="00523CF9">
      <w:pPr>
        <w:rPr>
          <w:sz w:val="20"/>
          <w:szCs w:val="20"/>
        </w:rPr>
      </w:pPr>
      <w:r w:rsidRPr="003D4CAD">
        <w:rPr>
          <w:sz w:val="20"/>
          <w:szCs w:val="20"/>
        </w:rPr>
        <w:t xml:space="preserve">Table </w:t>
      </w:r>
      <w:r w:rsidR="003D4CAD" w:rsidRPr="003D4CAD">
        <w:rPr>
          <w:sz w:val="20"/>
          <w:szCs w:val="20"/>
        </w:rPr>
        <w:t>1</w:t>
      </w:r>
    </w:p>
    <w:p w:rsidR="00523CF9" w:rsidRDefault="00523CF9" w:rsidP="00523CF9">
      <w:pPr>
        <w:jc w:val="center"/>
      </w:pPr>
      <w:r>
        <w:rPr>
          <w:rFonts w:ascii="Arial" w:hAnsi="Arial" w:cs="Arial"/>
          <w:b/>
          <w:bCs/>
          <w:noProof/>
          <w:color w:val="000000"/>
          <w:bdr w:val="none" w:sz="0" w:space="0" w:color="auto" w:frame="1"/>
        </w:rPr>
        <w:drawing>
          <wp:inline distT="0" distB="0" distL="0" distR="0" wp14:anchorId="147ED608" wp14:editId="60E5A667">
            <wp:extent cx="6027907" cy="4086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9615"/>
                    <a:stretch/>
                  </pic:blipFill>
                  <pic:spPr bwMode="auto">
                    <a:xfrm>
                      <a:off x="0" y="0"/>
                      <a:ext cx="6027907" cy="4086225"/>
                    </a:xfrm>
                    <a:prstGeom prst="rect">
                      <a:avLst/>
                    </a:prstGeom>
                    <a:noFill/>
                    <a:ln>
                      <a:noFill/>
                    </a:ln>
                    <a:extLst>
                      <a:ext uri="{53640926-AAD7-44D8-BBD7-CCE9431645EC}">
                        <a14:shadowObscured xmlns:a14="http://schemas.microsoft.com/office/drawing/2010/main"/>
                      </a:ext>
                    </a:extLst>
                  </pic:spPr>
                </pic:pic>
              </a:graphicData>
            </a:graphic>
          </wp:inline>
        </w:drawing>
      </w:r>
    </w:p>
    <w:p w:rsidR="00523CF9" w:rsidRDefault="00523CF9" w:rsidP="00523CF9">
      <w:pPr>
        <w:jc w:val="both"/>
      </w:pPr>
      <w:r w:rsidRPr="0028085D">
        <w:rPr>
          <w:rFonts w:ascii="Segoe UI Semibold" w:hAnsi="Segoe UI Semibold" w:cs="Segoe UI Semibold"/>
          <w:b/>
          <w:bCs/>
        </w:rPr>
        <w:t xml:space="preserve">New </w:t>
      </w:r>
      <w:proofErr w:type="spellStart"/>
      <w:r w:rsidRPr="0028085D">
        <w:rPr>
          <w:rFonts w:ascii="Segoe UI Semibold" w:hAnsi="Segoe UI Semibold" w:cs="Segoe UI Semibold"/>
          <w:b/>
          <w:bCs/>
        </w:rPr>
        <w:t>Paltz</w:t>
      </w:r>
      <w:proofErr w:type="spellEnd"/>
      <w:r w:rsidRPr="0028085D">
        <w:rPr>
          <w:rFonts w:ascii="Segoe UI Semibold" w:hAnsi="Segoe UI Semibold" w:cs="Segoe UI Semibold"/>
          <w:b/>
          <w:bCs/>
        </w:rPr>
        <w:t xml:space="preserve"> is projected to experience 7 times the number of days reaching mid-80s temperature.</w:t>
      </w:r>
      <w:r w:rsidRPr="00F03A6B">
        <w:t xml:space="preserve"> New </w:t>
      </w:r>
      <w:proofErr w:type="spellStart"/>
      <w:r w:rsidRPr="00F03A6B">
        <w:t>Paltz</w:t>
      </w:r>
      <w:proofErr w:type="spellEnd"/>
      <w:r w:rsidRPr="00F03A6B">
        <w:t xml:space="preserve"> in the 1990s rarely experienced temperatures over upper 80s Fahrenheit. Today, the current maximum average temperature for the Town is 97.2 degrees Fahrenheit. This means that during any given summer, we can expect temperatures to reach the mid-90s, with only some years reaching 100 degrees. However, within a decade, the typical hottest days of summer will become warmer, reaching an average high temperature of 99.6 degrees in 2030. Looking out 30 years to 2050, temperatures are likely to routinely breach 100 degrees and, if climate change goes unchecked, New </w:t>
      </w:r>
      <w:proofErr w:type="spellStart"/>
      <w:r w:rsidRPr="00F03A6B">
        <w:t>Paltz</w:t>
      </w:r>
      <w:proofErr w:type="spellEnd"/>
      <w:r w:rsidRPr="00F03A6B">
        <w:t xml:space="preserve"> can expect highs up to 110 degrees by end of the century. Even if the world is successful in achieving global climate goals, limiting average warming to less than 4 degrees Fahrenheit, the climate of New </w:t>
      </w:r>
      <w:proofErr w:type="spellStart"/>
      <w:r w:rsidRPr="00F03A6B">
        <w:t>Paltz</w:t>
      </w:r>
      <w:proofErr w:type="spellEnd"/>
      <w:r w:rsidRPr="00F03A6B">
        <w:t xml:space="preserve"> is projected to feel comparable to the current conditions for Charleston, S.C., by the end of the Century.</w:t>
      </w:r>
    </w:p>
    <w:p w:rsidR="00523CF9" w:rsidRDefault="00523CF9" w:rsidP="00523CF9">
      <w:pPr>
        <w:jc w:val="both"/>
      </w:pPr>
      <w:r w:rsidRPr="0028085D">
        <w:rPr>
          <w:rFonts w:ascii="Segoe UI Semibold" w:hAnsi="Segoe UI Semibold" w:cs="Segoe UI Semibold"/>
          <w:b/>
          <w:bCs/>
          <w:noProof/>
        </w:rPr>
        <w:lastRenderedPageBreak/>
        <w:drawing>
          <wp:anchor distT="0" distB="0" distL="114300" distR="114300" simplePos="0" relativeHeight="251657728" behindDoc="1" locked="0" layoutInCell="1" allowOverlap="1" wp14:anchorId="47E6CAA4" wp14:editId="7BF8D52F">
            <wp:simplePos x="0" y="0"/>
            <wp:positionH relativeFrom="column">
              <wp:posOffset>3434080</wp:posOffset>
            </wp:positionH>
            <wp:positionV relativeFrom="paragraph">
              <wp:posOffset>4122420</wp:posOffset>
            </wp:positionV>
            <wp:extent cx="3200400" cy="3425190"/>
            <wp:effectExtent l="0" t="0" r="0" b="3810"/>
            <wp:wrapTight wrapText="bothSides">
              <wp:wrapPolygon edited="0">
                <wp:start x="0" y="0"/>
                <wp:lineTo x="0" y="21504"/>
                <wp:lineTo x="21471" y="21504"/>
                <wp:lineTo x="2147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00400" cy="3425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7B014CA" wp14:editId="391A7AD3">
            <wp:extent cx="6309360" cy="4020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9360" cy="4020185"/>
                    </a:xfrm>
                    <a:prstGeom prst="rect">
                      <a:avLst/>
                    </a:prstGeom>
                  </pic:spPr>
                </pic:pic>
              </a:graphicData>
            </a:graphic>
          </wp:inline>
        </w:drawing>
      </w:r>
    </w:p>
    <w:p w:rsidR="00523CF9" w:rsidRPr="00FD224E" w:rsidRDefault="00523CF9" w:rsidP="00523CF9">
      <w:pPr>
        <w:jc w:val="both"/>
        <w:rPr>
          <w:sz w:val="20"/>
          <w:szCs w:val="20"/>
        </w:rPr>
      </w:pPr>
      <w:r w:rsidRPr="003D4CAD">
        <w:rPr>
          <w:sz w:val="20"/>
          <w:szCs w:val="20"/>
        </w:rPr>
        <w:t xml:space="preserve">Figure </w:t>
      </w:r>
      <w:r w:rsidR="003D4CAD" w:rsidRPr="003D4CAD">
        <w:rPr>
          <w:sz w:val="20"/>
          <w:szCs w:val="20"/>
        </w:rPr>
        <w:t>3</w:t>
      </w:r>
    </w:p>
    <w:p w:rsidR="00523CF9" w:rsidRPr="00F03A6B" w:rsidRDefault="00523CF9" w:rsidP="00523CF9">
      <w:pPr>
        <w:jc w:val="both"/>
      </w:pPr>
    </w:p>
    <w:p w:rsidR="00523CF9" w:rsidRPr="00F03A6B" w:rsidRDefault="00523CF9" w:rsidP="00523CF9">
      <w:pPr>
        <w:jc w:val="both"/>
      </w:pPr>
      <w:r w:rsidRPr="0028085D">
        <w:rPr>
          <w:rFonts w:ascii="Segoe UI Semibold" w:hAnsi="Segoe UI Semibold" w:cs="Segoe UI Semibold"/>
          <w:b/>
          <w:bCs/>
        </w:rPr>
        <w:t xml:space="preserve">New </w:t>
      </w:r>
      <w:proofErr w:type="spellStart"/>
      <w:r w:rsidRPr="0028085D">
        <w:rPr>
          <w:rFonts w:ascii="Segoe UI Semibold" w:hAnsi="Segoe UI Semibold" w:cs="Segoe UI Semibold"/>
          <w:b/>
          <w:bCs/>
        </w:rPr>
        <w:t>Paltz</w:t>
      </w:r>
      <w:proofErr w:type="spellEnd"/>
      <w:r w:rsidRPr="0028085D">
        <w:rPr>
          <w:rFonts w:ascii="Segoe UI Semibold" w:hAnsi="Segoe UI Semibold" w:cs="Segoe UI Semibold"/>
          <w:b/>
          <w:bCs/>
        </w:rPr>
        <w:t xml:space="preserve"> is expected to experience 7 times more extreme heat days.</w:t>
      </w:r>
      <w:r w:rsidRPr="00F03A6B">
        <w:rPr>
          <w:b/>
          <w:bCs/>
        </w:rPr>
        <w:t xml:space="preserve"> </w:t>
      </w:r>
      <w:r w:rsidRPr="00F03A6B">
        <w:t xml:space="preserve">During the early 2000s, New </w:t>
      </w:r>
      <w:proofErr w:type="spellStart"/>
      <w:r w:rsidRPr="00F03A6B">
        <w:t>Paltz</w:t>
      </w:r>
      <w:proofErr w:type="spellEnd"/>
      <w:r w:rsidRPr="00F03A6B">
        <w:t xml:space="preserve"> summers have been warmer than the historical average about 10 days per year. This trend is increasing. Because historical average high temperatures for New </w:t>
      </w:r>
      <w:proofErr w:type="spellStart"/>
      <w:r w:rsidRPr="00F03A6B">
        <w:t>Paltz</w:t>
      </w:r>
      <w:proofErr w:type="spellEnd"/>
      <w:r w:rsidRPr="00F03A6B">
        <w:t xml:space="preserve"> have been mid-80s Fahrenheit, </w:t>
      </w:r>
      <w:proofErr w:type="gramStart"/>
      <w:r w:rsidRPr="00F03A6B">
        <w:t>In</w:t>
      </w:r>
      <w:proofErr w:type="gramEnd"/>
      <w:r w:rsidRPr="00F03A6B">
        <w:t xml:space="preserve"> a decade, we can expect about two weeks exceeding mid-80s. Looking out to 30 years, the number of hotter-than-historical days is projected to be 26.5 days. By end of the century, we can expect 72.34 days of hotter-than-normal days. In other words, within 80 years, New </w:t>
      </w:r>
      <w:proofErr w:type="spellStart"/>
      <w:r w:rsidRPr="00F03A6B">
        <w:t>Paltz</w:t>
      </w:r>
      <w:proofErr w:type="spellEnd"/>
      <w:r w:rsidRPr="00F03A6B">
        <w:t xml:space="preserve"> will experience 2.5 months of temperatures hotter than mid-80s most every year.</w:t>
      </w:r>
    </w:p>
    <w:p w:rsidR="00523CF9" w:rsidRPr="00F03A6B" w:rsidRDefault="00523CF9" w:rsidP="00523CF9">
      <w:pPr>
        <w:jc w:val="both"/>
      </w:pPr>
      <w:r w:rsidRPr="0028085D">
        <w:rPr>
          <w:rFonts w:ascii="Segoe UI Semibold" w:hAnsi="Segoe UI Semibold" w:cs="Segoe UI Semibold"/>
          <w:b/>
          <w:bCs/>
        </w:rPr>
        <w:t xml:space="preserve">Within 20 years, New </w:t>
      </w:r>
      <w:proofErr w:type="spellStart"/>
      <w:r w:rsidRPr="0028085D">
        <w:rPr>
          <w:rFonts w:ascii="Segoe UI Semibold" w:hAnsi="Segoe UI Semibold" w:cs="Segoe UI Semibold"/>
          <w:b/>
          <w:bCs/>
        </w:rPr>
        <w:t>Paltz</w:t>
      </w:r>
      <w:proofErr w:type="spellEnd"/>
      <w:r w:rsidRPr="0028085D">
        <w:rPr>
          <w:rFonts w:ascii="Segoe UI Semibold" w:hAnsi="Segoe UI Semibold" w:cs="Segoe UI Semibold"/>
          <w:b/>
          <w:bCs/>
        </w:rPr>
        <w:t xml:space="preserve"> summer days will routinely begin to reach 100 degrees.</w:t>
      </w:r>
      <w:r w:rsidRPr="00F03A6B">
        <w:t xml:space="preserve"> Moreover, the majority of these days are likely to exceed 90 degrees and even upwards of 26 days per year exceeding 100 degrees. Often considered a more relevant metric than absolute temperature is heat index, or the perception of heat the average person is thought to experience when temperature is combined with humidity—otherwise thought of as how weather "feels". While </w:t>
      </w:r>
      <w:r w:rsidRPr="00F03A6B">
        <w:rPr>
          <w:smallCaps/>
        </w:rPr>
        <w:t>Temperate</w:t>
      </w:r>
      <w:r w:rsidRPr="00F03A6B">
        <w:t xml:space="preserve"> data does not provide heat </w:t>
      </w:r>
      <w:r w:rsidRPr="00F03A6B">
        <w:lastRenderedPageBreak/>
        <w:t>index values, a June 2019 report by the Union of Concerned Scientists shows that the heat index for Ulster County is likely to top 100 degrees Fahrenheit an average of 27 days per year within 80 years, including 16 days per year with a heat index above 105 degrees Fahrenheit and one “off-the-charts” day each year.</w:t>
      </w:r>
    </w:p>
    <w:p w:rsidR="00523CF9" w:rsidRDefault="00523CF9" w:rsidP="00523CF9">
      <w:pPr>
        <w:jc w:val="both"/>
      </w:pPr>
      <w:r w:rsidRPr="0028085D">
        <w:rPr>
          <w:rFonts w:ascii="Segoe UI Semibold" w:hAnsi="Segoe UI Semibold" w:cs="Segoe UI Semibold"/>
          <w:b/>
          <w:bCs/>
        </w:rPr>
        <w:t xml:space="preserve">New </w:t>
      </w:r>
      <w:proofErr w:type="spellStart"/>
      <w:r w:rsidRPr="0028085D">
        <w:rPr>
          <w:rFonts w:ascii="Segoe UI Semibold" w:hAnsi="Segoe UI Semibold" w:cs="Segoe UI Semibold"/>
          <w:b/>
          <w:bCs/>
        </w:rPr>
        <w:t>Paltz</w:t>
      </w:r>
      <w:proofErr w:type="spellEnd"/>
      <w:r w:rsidRPr="0028085D">
        <w:rPr>
          <w:rFonts w:ascii="Segoe UI Semibold" w:hAnsi="Segoe UI Semibold" w:cs="Segoe UI Semibold"/>
          <w:b/>
          <w:bCs/>
        </w:rPr>
        <w:t xml:space="preserve"> is projected to experience 5 times the number of heat waves.</w:t>
      </w:r>
      <w:r w:rsidRPr="00F03A6B">
        <w:t xml:space="preserve"> A heat wave is considered for this report to occur any time temperatures in New </w:t>
      </w:r>
      <w:proofErr w:type="spellStart"/>
      <w:r w:rsidRPr="00F03A6B">
        <w:t>Paltz</w:t>
      </w:r>
      <w:proofErr w:type="spellEnd"/>
      <w:r w:rsidRPr="00F03A6B">
        <w:t xml:space="preserve"> exceed mid-80s for a five-day period or longer. Recall that mid-80s is considered to the historical high for New </w:t>
      </w:r>
      <w:proofErr w:type="spellStart"/>
      <w:r w:rsidRPr="00F03A6B">
        <w:t>Paltz</w:t>
      </w:r>
      <w:proofErr w:type="spellEnd"/>
      <w:r w:rsidRPr="00F03A6B">
        <w:t>, at least since the 1970s. Today, the Town experiences heat waves an average of three times each year. Going forward, we can expect more and more incidents: five heat waves a decade from now, seven incidents by mid-century, and an average 15 heat waves near every year by the end of the century.</w:t>
      </w:r>
    </w:p>
    <w:p w:rsidR="00523CF9" w:rsidRDefault="00523CF9" w:rsidP="00523CF9">
      <w:pPr>
        <w:jc w:val="both"/>
      </w:pPr>
      <w:r>
        <w:rPr>
          <w:noProof/>
        </w:rPr>
        <w:drawing>
          <wp:inline distT="0" distB="0" distL="0" distR="0" wp14:anchorId="46AF4269" wp14:editId="4C938964">
            <wp:extent cx="6309360" cy="33953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3395345"/>
                    </a:xfrm>
                    <a:prstGeom prst="rect">
                      <a:avLst/>
                    </a:prstGeom>
                  </pic:spPr>
                </pic:pic>
              </a:graphicData>
            </a:graphic>
          </wp:inline>
        </w:drawing>
      </w:r>
    </w:p>
    <w:p w:rsidR="00523CF9" w:rsidRPr="00FD224E" w:rsidRDefault="00523CF9" w:rsidP="00523CF9">
      <w:pPr>
        <w:jc w:val="both"/>
        <w:rPr>
          <w:sz w:val="20"/>
          <w:szCs w:val="20"/>
        </w:rPr>
      </w:pPr>
      <w:r w:rsidRPr="003D4CAD">
        <w:rPr>
          <w:sz w:val="20"/>
          <w:szCs w:val="20"/>
        </w:rPr>
        <w:t xml:space="preserve">Figure </w:t>
      </w:r>
      <w:r w:rsidR="003D4CAD" w:rsidRPr="003D4CAD">
        <w:rPr>
          <w:sz w:val="20"/>
          <w:szCs w:val="20"/>
        </w:rPr>
        <w:t>4</w:t>
      </w:r>
    </w:p>
    <w:p w:rsidR="00523CF9" w:rsidRPr="00F03A6B" w:rsidRDefault="00523CF9" w:rsidP="00523CF9">
      <w:pPr>
        <w:jc w:val="both"/>
      </w:pPr>
    </w:p>
    <w:p w:rsidR="00523CF9" w:rsidRDefault="00523CF9" w:rsidP="00523CF9">
      <w:r w:rsidRPr="0028085D">
        <w:rPr>
          <w:rFonts w:ascii="Segoe UI Semibold" w:hAnsi="Segoe UI Semibold" w:cs="Segoe UI Semibold"/>
          <w:b/>
          <w:bCs/>
        </w:rPr>
        <w:t>Not only will heat waves be more frequent, but they will last longer, too.</w:t>
      </w:r>
      <w:r w:rsidRPr="00F03A6B">
        <w:t xml:space="preserve"> Recall that we consider a heat wave to occur anytime temperatures are higher than mid-80s Fahrenheit for five days or longer. During the early 2000s, New </w:t>
      </w:r>
      <w:proofErr w:type="spellStart"/>
      <w:r w:rsidRPr="00F03A6B">
        <w:t>Paltz’s</w:t>
      </w:r>
      <w:proofErr w:type="spellEnd"/>
      <w:r w:rsidRPr="00F03A6B">
        <w:t xml:space="preserve"> temperature exceeded mid-80s no more than seven consecutive days at a time in a typical year. The future is likely to see more years where heat waves last longer than seven days: Within a decade, a typical heat wave is projected to last around 9.5 days, with this trend increasing to an average 12.7 days within 30 years and 28 days by the end of the Century. In other words, within 80 years, when a heat wave comes to New </w:t>
      </w:r>
      <w:proofErr w:type="spellStart"/>
      <w:r w:rsidRPr="00F03A6B">
        <w:t>Paltz</w:t>
      </w:r>
      <w:proofErr w:type="spellEnd"/>
      <w:r w:rsidRPr="00F03A6B">
        <w:t>, it is likely to last upwards of one month at a time without reprieve.</w:t>
      </w:r>
    </w:p>
    <w:p w:rsidR="00523CF9" w:rsidRDefault="00523CF9" w:rsidP="00523CF9">
      <w:r>
        <w:rPr>
          <w:noProof/>
        </w:rPr>
        <w:lastRenderedPageBreak/>
        <w:drawing>
          <wp:inline distT="0" distB="0" distL="0" distR="0" wp14:anchorId="166CBAD3" wp14:editId="6447FB34">
            <wp:extent cx="6456064" cy="421957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96831" cy="4246220"/>
                    </a:xfrm>
                    <a:prstGeom prst="rect">
                      <a:avLst/>
                    </a:prstGeom>
                  </pic:spPr>
                </pic:pic>
              </a:graphicData>
            </a:graphic>
          </wp:inline>
        </w:drawing>
      </w:r>
    </w:p>
    <w:p w:rsidR="00523CF9" w:rsidRPr="00FD224E" w:rsidRDefault="00523CF9" w:rsidP="00523CF9">
      <w:pPr>
        <w:rPr>
          <w:sz w:val="20"/>
          <w:szCs w:val="20"/>
        </w:rPr>
      </w:pPr>
      <w:r w:rsidRPr="003D4CAD">
        <w:rPr>
          <w:sz w:val="20"/>
          <w:szCs w:val="20"/>
        </w:rPr>
        <w:t xml:space="preserve">Figure </w:t>
      </w:r>
      <w:r w:rsidR="003D4CAD" w:rsidRPr="003D4CAD">
        <w:rPr>
          <w:sz w:val="20"/>
          <w:szCs w:val="20"/>
        </w:rPr>
        <w:t>5</w:t>
      </w:r>
    </w:p>
    <w:p w:rsidR="00523CF9" w:rsidRPr="00F03A6B" w:rsidRDefault="00523CF9" w:rsidP="00523CF9"/>
    <w:p w:rsidR="00523CF9" w:rsidRPr="00F03A6B" w:rsidRDefault="00523CF9" w:rsidP="00523CF9">
      <w:r w:rsidRPr="0028085D">
        <w:rPr>
          <w:rFonts w:ascii="Segoe UI Semibold" w:hAnsi="Segoe UI Semibold" w:cs="Segoe UI Semibold"/>
          <w:noProof/>
        </w:rPr>
        <w:drawing>
          <wp:anchor distT="0" distB="0" distL="114300" distR="114300" simplePos="0" relativeHeight="251658752" behindDoc="1" locked="0" layoutInCell="1" allowOverlap="1" wp14:anchorId="387CEFD4" wp14:editId="2C096E1C">
            <wp:simplePos x="0" y="0"/>
            <wp:positionH relativeFrom="column">
              <wp:posOffset>2249170</wp:posOffset>
            </wp:positionH>
            <wp:positionV relativeFrom="paragraph">
              <wp:posOffset>671195</wp:posOffset>
            </wp:positionV>
            <wp:extent cx="4562475" cy="2847975"/>
            <wp:effectExtent l="0" t="0" r="9525" b="9525"/>
            <wp:wrapTight wrapText="bothSides">
              <wp:wrapPolygon edited="0">
                <wp:start x="0" y="0"/>
                <wp:lineTo x="0" y="21528"/>
                <wp:lineTo x="21555" y="21528"/>
                <wp:lineTo x="2155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1581"/>
                    <a:stretch/>
                  </pic:blipFill>
                  <pic:spPr bwMode="auto">
                    <a:xfrm>
                      <a:off x="0" y="0"/>
                      <a:ext cx="4562475" cy="284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085D">
        <w:rPr>
          <w:rFonts w:ascii="Segoe UI Semibold" w:hAnsi="Segoe UI Semibold" w:cs="Segoe UI Semibold"/>
          <w:b/>
          <w:bCs/>
        </w:rPr>
        <w:t>The number of extreme precipitation events are projected to nearly double by 2100.</w:t>
      </w:r>
      <w:r w:rsidRPr="00F03A6B">
        <w:t xml:space="preserve"> We have seen that New </w:t>
      </w:r>
      <w:proofErr w:type="spellStart"/>
      <w:r w:rsidRPr="00F03A6B">
        <w:t>Paltz</w:t>
      </w:r>
      <w:proofErr w:type="spellEnd"/>
      <w:r w:rsidRPr="00F03A6B">
        <w:t xml:space="preserve"> is projected to experience hotter (and more frequently hot) days over the course of a year. Heat in the atmosphere leads to altered weather patterns and flu</w:t>
      </w:r>
      <w:r>
        <w:t>ct</w:t>
      </w:r>
      <w:r w:rsidRPr="00F03A6B">
        <w:t xml:space="preserve">uations in the amount of moisture that is retained in the atmosphere throughout the year. While the total amount of precipitation in New </w:t>
      </w:r>
      <w:proofErr w:type="spellStart"/>
      <w:r w:rsidRPr="00F03A6B">
        <w:t>Paltz</w:t>
      </w:r>
      <w:proofErr w:type="spellEnd"/>
      <w:r w:rsidRPr="00F03A6B">
        <w:t xml:space="preserve"> is anticipated to change only modestly — from an average of 46 inches of precipitation today to an average 52 inches by 2100 — when and how that precipitation falls is likely to change quite a bit. One way is that the number of extreme precipitation events are projected to nearly double within 80 years. This report considers an “extreme </w:t>
      </w:r>
      <w:r w:rsidRPr="00F03A6B">
        <w:lastRenderedPageBreak/>
        <w:t>precipitation event” to be any time the average precipitation on a given day is higher than the 99th percentile of historical precipitation, in this case looking back to the 1970s. Today, these extreme events of heavy rain or snow occur about twice per year, and that number is anticipated to reach four or more occurrences per year by the end of the century.</w:t>
      </w:r>
    </w:p>
    <w:p w:rsidR="00523CF9" w:rsidRPr="00F03A6B" w:rsidRDefault="00523CF9" w:rsidP="00523CF9">
      <w:r w:rsidRPr="0028085D">
        <w:rPr>
          <w:rFonts w:ascii="Segoe UI Semibold" w:hAnsi="Segoe UI Semibold" w:cs="Segoe UI Semibold"/>
          <w:noProof/>
        </w:rPr>
        <w:drawing>
          <wp:anchor distT="0" distB="0" distL="114300" distR="114300" simplePos="0" relativeHeight="251659776" behindDoc="1" locked="0" layoutInCell="1" allowOverlap="1" wp14:anchorId="00D1F6B3" wp14:editId="11F1F24B">
            <wp:simplePos x="0" y="0"/>
            <wp:positionH relativeFrom="column">
              <wp:posOffset>2487930</wp:posOffset>
            </wp:positionH>
            <wp:positionV relativeFrom="paragraph">
              <wp:posOffset>885825</wp:posOffset>
            </wp:positionV>
            <wp:extent cx="4281170" cy="2525395"/>
            <wp:effectExtent l="0" t="0" r="5080" b="8255"/>
            <wp:wrapTight wrapText="bothSides">
              <wp:wrapPolygon edited="0">
                <wp:start x="0" y="0"/>
                <wp:lineTo x="0" y="21508"/>
                <wp:lineTo x="21530" y="21508"/>
                <wp:lineTo x="2153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81170" cy="2525395"/>
                    </a:xfrm>
                    <a:prstGeom prst="rect">
                      <a:avLst/>
                    </a:prstGeom>
                  </pic:spPr>
                </pic:pic>
              </a:graphicData>
            </a:graphic>
            <wp14:sizeRelH relativeFrom="margin">
              <wp14:pctWidth>0</wp14:pctWidth>
            </wp14:sizeRelH>
            <wp14:sizeRelV relativeFrom="margin">
              <wp14:pctHeight>0</wp14:pctHeight>
            </wp14:sizeRelV>
          </wp:anchor>
        </w:drawing>
      </w:r>
      <w:r w:rsidRPr="0028085D">
        <w:rPr>
          <w:rFonts w:ascii="Segoe UI Semibold" w:hAnsi="Segoe UI Semibold" w:cs="Segoe UI Semibold"/>
          <w:b/>
          <w:bCs/>
        </w:rPr>
        <w:t xml:space="preserve">New </w:t>
      </w:r>
      <w:proofErr w:type="spellStart"/>
      <w:r w:rsidRPr="0028085D">
        <w:rPr>
          <w:rFonts w:ascii="Segoe UI Semibold" w:hAnsi="Segoe UI Semibold" w:cs="Segoe UI Semibold"/>
          <w:b/>
          <w:bCs/>
        </w:rPr>
        <w:t>Paltz</w:t>
      </w:r>
      <w:proofErr w:type="spellEnd"/>
      <w:r w:rsidRPr="0028085D">
        <w:rPr>
          <w:rFonts w:ascii="Segoe UI Semibold" w:hAnsi="Segoe UI Semibold" w:cs="Segoe UI Semibold"/>
          <w:b/>
          <w:bCs/>
        </w:rPr>
        <w:t xml:space="preserve"> freezing days are projected to decrease by half.</w:t>
      </w:r>
      <w:r w:rsidRPr="0028085D">
        <w:rPr>
          <w:rFonts w:ascii="Segoe UI Semibold" w:hAnsi="Segoe UI Semibold" w:cs="Segoe UI Semibold"/>
        </w:rPr>
        <w:t xml:space="preserve"> When </w:t>
      </w:r>
      <w:r w:rsidRPr="00F03A6B">
        <w:t xml:space="preserve">temperatures warm, </w:t>
      </w:r>
      <w:r>
        <w:t>precipitation</w:t>
      </w:r>
      <w:r w:rsidRPr="00F03A6B">
        <w:t xml:space="preserve"> not only changes in quantity but and timing but also in type. In particular, fewer freezing days indicate more precipitation falling as rain than as snow. New </w:t>
      </w:r>
      <w:proofErr w:type="spellStart"/>
      <w:r w:rsidRPr="00F03A6B">
        <w:t>Paltz’s</w:t>
      </w:r>
      <w:proofErr w:type="spellEnd"/>
      <w:r w:rsidRPr="00F03A6B">
        <w:t xml:space="preserve"> winters already have been warming for some time now. While the average low temperature in the 1990s was -2.5 degrees, the average low today is about 0.25 degree. And this warm-winter trend is projected to accelerate quite fast with a 2030 average low of 3.5 degrees moving up to an average 14 degrees within 80 years. Because snowy winters depend on the number of frost days, or days below freezing, we can anticipate fewer snow days: Current frost days occur an average 108 days each year, reducing over time to an average just 58 frost days in 80 years.</w:t>
      </w:r>
      <w:r w:rsidRPr="001F774A">
        <w:rPr>
          <w:noProof/>
        </w:rPr>
        <w:t xml:space="preserve"> </w:t>
      </w:r>
    </w:p>
    <w:p w:rsidR="00523CF9" w:rsidRPr="00F03A6B" w:rsidRDefault="00523CF9" w:rsidP="00523CF9">
      <w:r w:rsidRPr="0028085D">
        <w:rPr>
          <w:rFonts w:ascii="Segoe UI Semibold" w:hAnsi="Segoe UI Semibold" w:cs="Segoe UI Semibold"/>
          <w:b/>
          <w:bCs/>
        </w:rPr>
        <w:t xml:space="preserve">New </w:t>
      </w:r>
      <w:proofErr w:type="spellStart"/>
      <w:r w:rsidRPr="0028085D">
        <w:rPr>
          <w:rFonts w:ascii="Segoe UI Semibold" w:hAnsi="Segoe UI Semibold" w:cs="Segoe UI Semibold"/>
          <w:b/>
          <w:bCs/>
        </w:rPr>
        <w:t>Paltz</w:t>
      </w:r>
      <w:proofErr w:type="spellEnd"/>
      <w:r w:rsidRPr="0028085D">
        <w:rPr>
          <w:rFonts w:ascii="Segoe UI Semibold" w:hAnsi="Segoe UI Semibold" w:cs="Segoe UI Semibold"/>
          <w:b/>
          <w:bCs/>
        </w:rPr>
        <w:t xml:space="preserve"> anticipates a precipitation shift from snow to rain.</w:t>
      </w:r>
      <w:r w:rsidRPr="00F03A6B">
        <w:t xml:space="preserve"> While </w:t>
      </w:r>
      <w:bookmarkStart w:id="13" w:name="_Hlk25756533"/>
      <w:r w:rsidRPr="00F03A6B">
        <w:rPr>
          <w:smallCaps/>
        </w:rPr>
        <w:t>Temperate</w:t>
      </w:r>
      <w:bookmarkEnd w:id="13"/>
      <w:r w:rsidRPr="00F03A6B">
        <w:t xml:space="preserve"> outputs are able to project for precipitation changes, it will not speak to type of precipitation and changes throughout the year, such as snow versus rain. For trends in snowpack and snowfall, New </w:t>
      </w:r>
      <w:proofErr w:type="spellStart"/>
      <w:r w:rsidRPr="00F03A6B">
        <w:t>Paltz</w:t>
      </w:r>
      <w:proofErr w:type="spellEnd"/>
      <w:r w:rsidRPr="00F03A6B">
        <w:t xml:space="preserve"> Vulnerability Assessment relies on Chapter 18 of the </w:t>
      </w:r>
      <w:r w:rsidRPr="00F03A6B">
        <w:rPr>
          <w:i/>
          <w:iCs/>
        </w:rPr>
        <w:t>National Climate Assessment</w:t>
      </w:r>
      <w:r w:rsidRPr="00F03A6B">
        <w:t>, which details impacts to snow for the Northeast region:</w:t>
      </w:r>
    </w:p>
    <w:p w:rsidR="00523CF9" w:rsidRPr="00F03A6B" w:rsidRDefault="00523CF9" w:rsidP="00523CF9">
      <w:r w:rsidRPr="00F03A6B">
        <w:t>As Northeast winters warm, scenarios project a combination of less early winter snowfall and earlier snowmelt, leading to a shorter snow season.</w:t>
      </w:r>
      <w:r>
        <w:t xml:space="preserve"> </w:t>
      </w:r>
      <w:r w:rsidRPr="00F03A6B">
        <w:t>The proportion of winter precipitation falling as rain has already increased and will likely continue to do so in response to a northward shift in the snow–rain transition zone projected under both lower and higher scenarios (RCP4.5 and RCP8.5). The shift in precipitation type and fewer days below freezing are expected to result in fewer days with snow on the ground; decreased snow depth, water equivalent, and extent; an earlier snowmelt; and less lake ice. Warming during the winter–spring transition has already led to earlier snowmelt-related runoff in areas of the Northeast with substantial snowpack.</w:t>
      </w:r>
    </w:p>
    <w:p w:rsidR="00523CF9" w:rsidRDefault="00523CF9" w:rsidP="00523CF9">
      <w:r>
        <w:rPr>
          <w:noProof/>
        </w:rPr>
        <w:lastRenderedPageBreak/>
        <w:drawing>
          <wp:inline distT="0" distB="0" distL="0" distR="0" wp14:anchorId="265CB9BD" wp14:editId="4E4E43E7">
            <wp:extent cx="6309360" cy="37064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9360" cy="3706495"/>
                    </a:xfrm>
                    <a:prstGeom prst="rect">
                      <a:avLst/>
                    </a:prstGeom>
                  </pic:spPr>
                </pic:pic>
              </a:graphicData>
            </a:graphic>
          </wp:inline>
        </w:drawing>
      </w:r>
    </w:p>
    <w:p w:rsidR="0047275D" w:rsidRDefault="0047275D" w:rsidP="0047275D"/>
    <w:p w:rsidR="005C3D6E" w:rsidRDefault="005C3D6E" w:rsidP="0047275D"/>
    <w:p w:rsidR="005C3D6E" w:rsidRDefault="005C3D6E" w:rsidP="0047275D"/>
    <w:p w:rsidR="005C3D6E" w:rsidRDefault="005C3D6E" w:rsidP="0047275D"/>
    <w:p w:rsidR="005C3D6E" w:rsidRDefault="005C3D6E" w:rsidP="0047275D"/>
    <w:p w:rsidR="005C3D6E" w:rsidRDefault="005C3D6E" w:rsidP="0047275D"/>
    <w:p w:rsidR="005C3D6E" w:rsidRDefault="005C3D6E" w:rsidP="0047275D"/>
    <w:p w:rsidR="005C3D6E" w:rsidRDefault="005C3D6E" w:rsidP="0047275D"/>
    <w:p w:rsidR="005C3D6E" w:rsidRDefault="005C3D6E" w:rsidP="0047275D"/>
    <w:p w:rsidR="005C3D6E" w:rsidRDefault="005C3D6E" w:rsidP="0047275D"/>
    <w:p w:rsidR="005C3D6E" w:rsidRDefault="005C3D6E" w:rsidP="0047275D"/>
    <w:p w:rsidR="005C3D6E" w:rsidRDefault="005C3D6E" w:rsidP="0047275D"/>
    <w:p w:rsidR="005C3D6E" w:rsidRDefault="005C3D6E" w:rsidP="0047275D"/>
    <w:p w:rsidR="005C3D6E" w:rsidRPr="0047275D" w:rsidRDefault="005C3D6E" w:rsidP="0047275D"/>
    <w:p w:rsidR="00E36E44" w:rsidRDefault="00E36E44" w:rsidP="00F50A0A"/>
    <w:bookmarkStart w:id="14" w:name="_Toc28525296" w:displacedByCustomXml="next"/>
    <w:sdt>
      <w:sdtPr>
        <w:rPr>
          <w:rFonts w:ascii="Segoe UI Semilight" w:eastAsiaTheme="minorHAnsi" w:hAnsi="Segoe UI Semilight" w:cs="Segoe UI Semilight"/>
          <w:color w:val="000000" w:themeColor="text1"/>
          <w:sz w:val="22"/>
          <w:szCs w:val="22"/>
        </w:rPr>
        <w:id w:val="-977539497"/>
        <w:docPartObj>
          <w:docPartGallery w:val="Bibliographies"/>
          <w:docPartUnique/>
        </w:docPartObj>
      </w:sdtPr>
      <w:sdtEndPr>
        <w:rPr>
          <w:b/>
          <w:bCs/>
        </w:rPr>
      </w:sdtEndPr>
      <w:sdtContent>
        <w:p w:rsidR="00CE6EF5" w:rsidRDefault="00CE6EF5">
          <w:pPr>
            <w:pStyle w:val="Heading1"/>
          </w:pPr>
          <w:r>
            <w:t>Works Cited</w:t>
          </w:r>
          <w:bookmarkEnd w:id="14"/>
        </w:p>
        <w:p w:rsidR="00CE6EF5" w:rsidRDefault="00CE6EF5" w:rsidP="00CE6EF5">
          <w:pPr>
            <w:pStyle w:val="Bibliography"/>
            <w:ind w:left="720" w:hanging="720"/>
            <w:rPr>
              <w:noProof/>
            </w:rPr>
          </w:pPr>
          <w:r>
            <w:fldChar w:fldCharType="begin"/>
          </w:r>
          <w:r>
            <w:instrText xml:space="preserve"> BIBLIOGRAPHY </w:instrText>
          </w:r>
          <w:r>
            <w:fldChar w:fldCharType="separate"/>
          </w:r>
          <w:r>
            <w:rPr>
              <w:noProof/>
            </w:rPr>
            <w:t xml:space="preserve">GCoM. (2019). </w:t>
          </w:r>
          <w:r>
            <w:rPr>
              <w:i/>
              <w:iCs/>
              <w:noProof/>
            </w:rPr>
            <w:t>Resources for Cities.</w:t>
          </w:r>
          <w:r>
            <w:rPr>
              <w:noProof/>
            </w:rPr>
            <w:t xml:space="preserve"> Retrieved from Global Covenant of Mayors for Climate and Energy: https://www.globalcovenantofmayors.org/our-initiatives/data4cities/resources/</w:t>
          </w:r>
        </w:p>
        <w:p w:rsidR="00CE6EF5" w:rsidRDefault="00CE6EF5" w:rsidP="00CE6EF5">
          <w:pPr>
            <w:pStyle w:val="Bibliography"/>
            <w:ind w:left="720" w:hanging="720"/>
            <w:rPr>
              <w:noProof/>
            </w:rPr>
          </w:pPr>
          <w:r>
            <w:rPr>
              <w:noProof/>
            </w:rPr>
            <w:t xml:space="preserve">Intergovernmental Panel on Climate Change (IPCC). (2014). </w:t>
          </w:r>
          <w:r>
            <w:rPr>
              <w:i/>
              <w:iCs/>
              <w:noProof/>
            </w:rPr>
            <w:t>Summary for Policymakers. In: Climate Change 2014: Impacts, Adaptation, and Vulnerability.</w:t>
          </w:r>
          <w:r>
            <w:rPr>
              <w:noProof/>
            </w:rPr>
            <w:t xml:space="preserve"> Cambridge, United Kingdom and New York, NY, USA: Cambridge University Press.</w:t>
          </w:r>
        </w:p>
        <w:p w:rsidR="00CE6EF5" w:rsidRDefault="00CE6EF5" w:rsidP="00CE6EF5">
          <w:pPr>
            <w:pStyle w:val="Bibliography"/>
            <w:ind w:left="720" w:hanging="720"/>
            <w:rPr>
              <w:noProof/>
            </w:rPr>
          </w:pPr>
          <w:r>
            <w:rPr>
              <w:noProof/>
            </w:rPr>
            <w:t xml:space="preserve">New York State. (2019). </w:t>
          </w:r>
          <w:r>
            <w:rPr>
              <w:i/>
              <w:iCs/>
              <w:noProof/>
            </w:rPr>
            <w:t>Climate Smart Communities</w:t>
          </w:r>
          <w:r>
            <w:rPr>
              <w:noProof/>
            </w:rPr>
            <w:t>. Retrieved from New York State: https://climatesmart.ny.gov/about/</w:t>
          </w:r>
        </w:p>
        <w:p w:rsidR="00CE6EF5" w:rsidRDefault="00CE6EF5" w:rsidP="00CE6EF5">
          <w:r>
            <w:rPr>
              <w:b/>
              <w:bCs/>
            </w:rPr>
            <w:fldChar w:fldCharType="end"/>
          </w:r>
        </w:p>
      </w:sdtContent>
    </w:sdt>
    <w:p w:rsidR="001F3569" w:rsidRDefault="001F3569" w:rsidP="001F3569">
      <w:pPr>
        <w:spacing w:before="0" w:after="200"/>
        <w:rPr>
          <w:highlight w:val="yellow"/>
        </w:rPr>
      </w:pPr>
    </w:p>
    <w:p w:rsidR="00007FB9" w:rsidRDefault="009F0974" w:rsidP="00581127">
      <w:hyperlink r:id="rId24" w:history="1">
        <w:r w:rsidR="00CE6EF5">
          <w:rPr>
            <w:rStyle w:val="Hyperlink"/>
          </w:rPr>
          <w:t>http://www.baylocalize.org/files/Community_Resilience_Toolkit_v1.0.pdf</w:t>
        </w:r>
      </w:hyperlink>
    </w:p>
    <w:sectPr w:rsidR="00007FB9" w:rsidSect="008C2073">
      <w:footerReference w:type="default" r:id="rId25"/>
      <w:pgSz w:w="12240" w:h="15840" w:code="1"/>
      <w:pgMar w:top="1152" w:right="1152" w:bottom="1152" w:left="1152"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974" w:rsidRDefault="009F0974" w:rsidP="005E2C44">
      <w:pPr>
        <w:spacing w:before="0" w:after="0" w:line="240" w:lineRule="auto"/>
      </w:pPr>
      <w:r>
        <w:separator/>
      </w:r>
    </w:p>
  </w:endnote>
  <w:endnote w:type="continuationSeparator" w:id="0">
    <w:p w:rsidR="009F0974" w:rsidRDefault="009F0974" w:rsidP="005E2C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altName w:val="Sylfaen"/>
    <w:panose1 w:val="020B07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hnschrift SemiBold SemiConden">
    <w:charset w:val="00"/>
    <w:family w:val="swiss"/>
    <w:pitch w:val="variable"/>
    <w:sig w:usb0="A00002C7" w:usb1="00000002" w:usb2="00000000" w:usb3="00000000" w:csb0="0000019F" w:csb1="00000000"/>
  </w:font>
  <w:font w:name="Bahnschrift Light SemiCondensed">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DFA" w:rsidRPr="00680A01" w:rsidRDefault="00C44DFA" w:rsidP="00680A01">
    <w:pPr>
      <w:tabs>
        <w:tab w:val="right" w:pos="9360"/>
      </w:tabs>
      <w:jc w:val="right"/>
      <w:rPr>
        <w:rFonts w:ascii="Segoe UI Semibold" w:hAnsi="Segoe UI Semibold" w:cs="Segoe UI Semibold"/>
        <w:color w:val="404040" w:themeColor="text1" w:themeTint="BF"/>
        <w:sz w:val="28"/>
      </w:rPr>
    </w:pPr>
    <w:r w:rsidRPr="00680A01">
      <w:rPr>
        <w:rFonts w:ascii="Segoe UI Semibold" w:hAnsi="Segoe UI Semibold" w:cs="Segoe UI Semibold"/>
        <w:noProof/>
      </w:rPr>
      <mc:AlternateContent>
        <mc:Choice Requires="wps">
          <w:drawing>
            <wp:anchor distT="0" distB="0" distL="114300" distR="114300" simplePos="0" relativeHeight="251658240" behindDoc="1" locked="0" layoutInCell="1" allowOverlap="1" wp14:anchorId="2EFFECDD" wp14:editId="2B2E964E">
              <wp:simplePos x="0" y="0"/>
              <wp:positionH relativeFrom="column">
                <wp:posOffset>5502910</wp:posOffset>
              </wp:positionH>
              <wp:positionV relativeFrom="paragraph">
                <wp:posOffset>-40962</wp:posOffset>
              </wp:positionV>
              <wp:extent cx="1567197" cy="474592"/>
              <wp:effectExtent l="0" t="0" r="0" b="1905"/>
              <wp:wrapNone/>
              <wp:docPr id="22" name="Rectangle 22"/>
              <wp:cNvGraphicFramePr/>
              <a:graphic xmlns:a="http://schemas.openxmlformats.org/drawingml/2006/main">
                <a:graphicData uri="http://schemas.microsoft.com/office/word/2010/wordprocessingShape">
                  <wps:wsp>
                    <wps:cNvSpPr/>
                    <wps:spPr>
                      <a:xfrm>
                        <a:off x="0" y="0"/>
                        <a:ext cx="1567197" cy="47459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3F6D7" id="Rectangle 22" o:spid="_x0000_s1026" style="position:absolute;margin-left:433.3pt;margin-top:-3.25pt;width:123.4pt;height:3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" fillcolor="#f2f2f2 [3052]" stroked="f" strokeweight="2pt"/>
          </w:pict>
        </mc:Fallback>
      </mc:AlternateContent>
    </w:r>
    <w:sdt>
      <w:sdtPr>
        <w:rPr>
          <w:rFonts w:ascii="Segoe UI Semibold" w:hAnsi="Segoe UI Semibold" w:cs="Segoe UI Semibold"/>
          <w:color w:val="404040" w:themeColor="text1" w:themeTint="BF"/>
          <w:sz w:val="28"/>
        </w:rPr>
        <w:id w:val="-42904619"/>
        <w:docPartObj>
          <w:docPartGallery w:val="Page Numbers (Bottom of Page)"/>
          <w:docPartUnique/>
        </w:docPartObj>
      </w:sdtPr>
      <w:sdtEndPr>
        <w:rPr>
          <w:noProof/>
        </w:rPr>
      </w:sdtEndPr>
      <w:sdtContent>
        <w:r w:rsidRPr="00680A01">
          <w:rPr>
            <w:rFonts w:ascii="Segoe UI Semibold" w:hAnsi="Segoe UI Semibold" w:cs="Segoe UI Semibold"/>
            <w:color w:val="404040" w:themeColor="text1" w:themeTint="BF"/>
            <w:sz w:val="28"/>
          </w:rPr>
          <w:fldChar w:fldCharType="begin"/>
        </w:r>
        <w:r w:rsidRPr="00680A01">
          <w:rPr>
            <w:rFonts w:ascii="Segoe UI Semibold" w:hAnsi="Segoe UI Semibold" w:cs="Segoe UI Semibold"/>
            <w:color w:val="404040" w:themeColor="text1" w:themeTint="BF"/>
            <w:sz w:val="28"/>
          </w:rPr>
          <w:instrText xml:space="preserve"> PAGE   \* MERGEFORMAT </w:instrText>
        </w:r>
        <w:r w:rsidRPr="00680A01">
          <w:rPr>
            <w:rFonts w:ascii="Segoe UI Semibold" w:hAnsi="Segoe UI Semibold" w:cs="Segoe UI Semibold"/>
            <w:color w:val="404040" w:themeColor="text1" w:themeTint="BF"/>
            <w:sz w:val="28"/>
          </w:rPr>
          <w:fldChar w:fldCharType="separate"/>
        </w:r>
        <w:r w:rsidR="00581127">
          <w:rPr>
            <w:rFonts w:ascii="Segoe UI Semibold" w:hAnsi="Segoe UI Semibold" w:cs="Segoe UI Semibold"/>
            <w:noProof/>
            <w:color w:val="404040" w:themeColor="text1" w:themeTint="BF"/>
            <w:sz w:val="28"/>
          </w:rPr>
          <w:t>15</w:t>
        </w:r>
        <w:r w:rsidRPr="00680A01">
          <w:rPr>
            <w:rFonts w:ascii="Segoe UI Semibold" w:hAnsi="Segoe UI Semibold" w:cs="Segoe UI Semibold"/>
            <w:noProof/>
            <w:color w:val="404040" w:themeColor="text1" w:themeTint="BF"/>
            <w:sz w:val="28"/>
          </w:rPr>
          <w:fldChar w:fldCharType="end"/>
        </w:r>
      </w:sdtContent>
    </w:sdt>
    <w:r w:rsidRPr="00680A01">
      <w:rPr>
        <w:rFonts w:ascii="Segoe UI Semibold" w:hAnsi="Segoe UI Semibold" w:cs="Segoe UI Semibold"/>
        <w:noProof/>
        <w:color w:val="404040" w:themeColor="text1" w:themeTint="BF"/>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974" w:rsidRDefault="009F0974" w:rsidP="005E2C44">
      <w:pPr>
        <w:spacing w:before="0" w:after="0" w:line="240" w:lineRule="auto"/>
      </w:pPr>
      <w:r>
        <w:separator/>
      </w:r>
    </w:p>
  </w:footnote>
  <w:footnote w:type="continuationSeparator" w:id="0">
    <w:p w:rsidR="009F0974" w:rsidRDefault="009F0974" w:rsidP="005E2C4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434E3"/>
    <w:multiLevelType w:val="hybridMultilevel"/>
    <w:tmpl w:val="71540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0A61BF"/>
    <w:multiLevelType w:val="hybridMultilevel"/>
    <w:tmpl w:val="562C2EC6"/>
    <w:lvl w:ilvl="0" w:tplc="CDFCF75A">
      <w:start w:val="1"/>
      <w:numFmt w:val="decimal"/>
      <w:pStyle w:val="Bodylists"/>
      <w:lvlText w:val="%1."/>
      <w:lvlJc w:val="left"/>
      <w:pPr>
        <w:ind w:left="1080" w:hanging="720"/>
      </w:pPr>
      <w:rPr>
        <w:rFonts w:ascii="Segoe UI Semibold" w:hAnsi="Segoe UI Semibold" w:cs="Segoe UI Semibold"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830E7E"/>
    <w:multiLevelType w:val="hybridMultilevel"/>
    <w:tmpl w:val="5728FE8A"/>
    <w:lvl w:ilvl="0" w:tplc="04090001">
      <w:start w:val="1"/>
      <w:numFmt w:val="bullet"/>
      <w:lvlText w:val=""/>
      <w:lvlJc w:val="left"/>
      <w:pPr>
        <w:ind w:left="1080" w:hanging="72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E8032E"/>
    <w:multiLevelType w:val="hybridMultilevel"/>
    <w:tmpl w:val="75A6F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A4471C"/>
    <w:multiLevelType w:val="multilevel"/>
    <w:tmpl w:val="1F54453A"/>
    <w:lvl w:ilvl="0">
      <w:start w:val="1"/>
      <w:numFmt w:val="decimal"/>
      <w:pStyle w:val="Heading1"/>
      <w:lvlText w:val="%1"/>
      <w:lvlJc w:val="left"/>
      <w:pPr>
        <w:ind w:left="945" w:hanging="495"/>
      </w:pPr>
      <w:rPr>
        <w:rFonts w:hint="default"/>
        <w:b/>
        <w:bCs w:val="0"/>
        <w:i w:val="0"/>
        <w:iCs w:val="0"/>
        <w:caps w:val="0"/>
        <w:smallCaps w:val="0"/>
        <w:strike w:val="0"/>
        <w:dstrike w:val="0"/>
        <w:outline w:val="0"/>
        <w:shadow w:val="0"/>
        <w:emboss w:val="0"/>
        <w:imprint w:val="0"/>
        <w:noProof w:val="0"/>
        <w:vanish w:val="0"/>
        <w:color w:val="008887"/>
        <w:spacing w:val="0"/>
        <w:kern w:val="0"/>
        <w:position w:val="0"/>
        <w:sz w:val="7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20" w:hanging="720"/>
      </w:pPr>
      <w:rPr>
        <w:rFonts w:ascii="Century Gothic" w:hAnsi="Century Gothic" w:hint="default"/>
        <w:b/>
        <w:bCs w:val="0"/>
        <w:i w:val="0"/>
        <w:iCs w:val="0"/>
        <w:caps w:val="0"/>
        <w:smallCaps w:val="0"/>
        <w:strike w:val="0"/>
        <w:dstrike w:val="0"/>
        <w:outline w:val="0"/>
        <w:shadow w:val="0"/>
        <w:emboss w:val="0"/>
        <w:imprint w:val="0"/>
        <w:noProof w:val="0"/>
        <w:vanish w:val="0"/>
        <w:color w:val="595959" w:themeColor="text1" w:themeTint="A6"/>
        <w:spacing w:val="0"/>
        <w:kern w:val="0"/>
        <w:position w:val="0"/>
        <w:sz w:val="36"/>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15:restartNumberingAfterBreak="0">
    <w:nsid w:val="56C9304E"/>
    <w:multiLevelType w:val="hybridMultilevel"/>
    <w:tmpl w:val="C8E4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093558"/>
    <w:multiLevelType w:val="hybridMultilevel"/>
    <w:tmpl w:val="5698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451E1D"/>
    <w:multiLevelType w:val="multilevel"/>
    <w:tmpl w:val="BE9E6CF2"/>
    <w:styleLink w:val="Style1"/>
    <w:lvl w:ilvl="0">
      <w:start w:val="1"/>
      <w:numFmt w:val="decimal"/>
      <w:lvlText w:val="%1"/>
      <w:lvlJc w:val="left"/>
      <w:pPr>
        <w:ind w:left="495" w:hanging="495"/>
      </w:pPr>
      <w:rPr>
        <w:rFonts w:ascii="Century Gothic" w:hAnsi="Century Gothic" w:hint="default"/>
        <w:color w:val="404040" w:themeColor="text1" w:themeTint="BF"/>
        <w:sz w:val="36"/>
      </w:rPr>
    </w:lvl>
    <w:lvl w:ilvl="1">
      <w:start w:val="1"/>
      <w:numFmt w:val="decima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638A75D5"/>
    <w:multiLevelType w:val="hybridMultilevel"/>
    <w:tmpl w:val="8084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E515A2"/>
    <w:multiLevelType w:val="hybridMultilevel"/>
    <w:tmpl w:val="36FC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136BB6"/>
    <w:multiLevelType w:val="hybridMultilevel"/>
    <w:tmpl w:val="23143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8037FB"/>
    <w:multiLevelType w:val="hybridMultilevel"/>
    <w:tmpl w:val="9A265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11"/>
  </w:num>
  <w:num w:numId="4">
    <w:abstractNumId w:val="7"/>
  </w:num>
  <w:num w:numId="5">
    <w:abstractNumId w:val="4"/>
  </w:num>
  <w:num w:numId="6">
    <w:abstractNumId w:val="2"/>
  </w:num>
  <w:num w:numId="7">
    <w:abstractNumId w:val="0"/>
  </w:num>
  <w:num w:numId="8">
    <w:abstractNumId w:val="10"/>
  </w:num>
  <w:num w:numId="9">
    <w:abstractNumId w:val="3"/>
  </w:num>
  <w:num w:numId="10">
    <w:abstractNumId w:val="6"/>
  </w:num>
  <w:num w:numId="11">
    <w:abstractNumId w:val="9"/>
  </w:num>
  <w:num w:numId="12">
    <w:abstractNumId w:val="5"/>
  </w:num>
  <w:num w:numId="1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D40"/>
    <w:rsid w:val="00001833"/>
    <w:rsid w:val="00007FB9"/>
    <w:rsid w:val="0001615D"/>
    <w:rsid w:val="000200B2"/>
    <w:rsid w:val="00033F92"/>
    <w:rsid w:val="00067B26"/>
    <w:rsid w:val="00076AC6"/>
    <w:rsid w:val="0008159D"/>
    <w:rsid w:val="00085EBC"/>
    <w:rsid w:val="000B50C0"/>
    <w:rsid w:val="000D2A57"/>
    <w:rsid w:val="000E5E05"/>
    <w:rsid w:val="000F3EBF"/>
    <w:rsid w:val="0014351B"/>
    <w:rsid w:val="00143B9F"/>
    <w:rsid w:val="001660CD"/>
    <w:rsid w:val="001A43E2"/>
    <w:rsid w:val="001A5036"/>
    <w:rsid w:val="001F1006"/>
    <w:rsid w:val="001F3569"/>
    <w:rsid w:val="00206CCF"/>
    <w:rsid w:val="0021002C"/>
    <w:rsid w:val="00245320"/>
    <w:rsid w:val="00247162"/>
    <w:rsid w:val="00296231"/>
    <w:rsid w:val="002A0296"/>
    <w:rsid w:val="002A5048"/>
    <w:rsid w:val="002A6678"/>
    <w:rsid w:val="002B2957"/>
    <w:rsid w:val="002C2D1D"/>
    <w:rsid w:val="002D49DF"/>
    <w:rsid w:val="002D76AD"/>
    <w:rsid w:val="002E175B"/>
    <w:rsid w:val="002F7558"/>
    <w:rsid w:val="00313059"/>
    <w:rsid w:val="00323242"/>
    <w:rsid w:val="00365227"/>
    <w:rsid w:val="003655E7"/>
    <w:rsid w:val="003714C6"/>
    <w:rsid w:val="0039503B"/>
    <w:rsid w:val="00395581"/>
    <w:rsid w:val="00397260"/>
    <w:rsid w:val="003A7424"/>
    <w:rsid w:val="003B0AF9"/>
    <w:rsid w:val="003B0B68"/>
    <w:rsid w:val="003D4CAD"/>
    <w:rsid w:val="003D58ED"/>
    <w:rsid w:val="00420459"/>
    <w:rsid w:val="004214D0"/>
    <w:rsid w:val="004312D5"/>
    <w:rsid w:val="004418A2"/>
    <w:rsid w:val="0047275D"/>
    <w:rsid w:val="00492508"/>
    <w:rsid w:val="004A1788"/>
    <w:rsid w:val="004D58B5"/>
    <w:rsid w:val="004D59E3"/>
    <w:rsid w:val="004D67B2"/>
    <w:rsid w:val="004F3E8D"/>
    <w:rsid w:val="00514A82"/>
    <w:rsid w:val="00523CF9"/>
    <w:rsid w:val="0054799F"/>
    <w:rsid w:val="00556354"/>
    <w:rsid w:val="00563F28"/>
    <w:rsid w:val="00570168"/>
    <w:rsid w:val="00581127"/>
    <w:rsid w:val="005B3622"/>
    <w:rsid w:val="005C3D6E"/>
    <w:rsid w:val="005C3E9A"/>
    <w:rsid w:val="005E2AD8"/>
    <w:rsid w:val="005E2C44"/>
    <w:rsid w:val="006155CC"/>
    <w:rsid w:val="0062543F"/>
    <w:rsid w:val="00630AFC"/>
    <w:rsid w:val="006511BD"/>
    <w:rsid w:val="0066715B"/>
    <w:rsid w:val="00675E71"/>
    <w:rsid w:val="00676D6C"/>
    <w:rsid w:val="00676F19"/>
    <w:rsid w:val="00680A01"/>
    <w:rsid w:val="00684BE3"/>
    <w:rsid w:val="00692BC0"/>
    <w:rsid w:val="006B0516"/>
    <w:rsid w:val="006B40C6"/>
    <w:rsid w:val="00723590"/>
    <w:rsid w:val="00725730"/>
    <w:rsid w:val="00781653"/>
    <w:rsid w:val="007C292D"/>
    <w:rsid w:val="007D6F4F"/>
    <w:rsid w:val="007D76AE"/>
    <w:rsid w:val="007E5D5A"/>
    <w:rsid w:val="007E78AD"/>
    <w:rsid w:val="0080083E"/>
    <w:rsid w:val="0084768A"/>
    <w:rsid w:val="008508FE"/>
    <w:rsid w:val="00850DD2"/>
    <w:rsid w:val="008527E3"/>
    <w:rsid w:val="0085367B"/>
    <w:rsid w:val="00876A32"/>
    <w:rsid w:val="00877ACE"/>
    <w:rsid w:val="00885669"/>
    <w:rsid w:val="008C2073"/>
    <w:rsid w:val="008E2CC9"/>
    <w:rsid w:val="008E56A3"/>
    <w:rsid w:val="00902E58"/>
    <w:rsid w:val="00913312"/>
    <w:rsid w:val="00985DF2"/>
    <w:rsid w:val="00987D27"/>
    <w:rsid w:val="00994071"/>
    <w:rsid w:val="009A4D39"/>
    <w:rsid w:val="009B34C7"/>
    <w:rsid w:val="009C6145"/>
    <w:rsid w:val="009D02FF"/>
    <w:rsid w:val="009F0974"/>
    <w:rsid w:val="00A16F84"/>
    <w:rsid w:val="00A6485A"/>
    <w:rsid w:val="00A65D0F"/>
    <w:rsid w:val="00A77F3E"/>
    <w:rsid w:val="00A918EF"/>
    <w:rsid w:val="00AC5E61"/>
    <w:rsid w:val="00AC7890"/>
    <w:rsid w:val="00AF400F"/>
    <w:rsid w:val="00AF583A"/>
    <w:rsid w:val="00B05D35"/>
    <w:rsid w:val="00B1186D"/>
    <w:rsid w:val="00B30AA2"/>
    <w:rsid w:val="00B35EF8"/>
    <w:rsid w:val="00B40D99"/>
    <w:rsid w:val="00B860B2"/>
    <w:rsid w:val="00BA2017"/>
    <w:rsid w:val="00BE6DDE"/>
    <w:rsid w:val="00BF226D"/>
    <w:rsid w:val="00C07653"/>
    <w:rsid w:val="00C20DA7"/>
    <w:rsid w:val="00C376CE"/>
    <w:rsid w:val="00C44DFA"/>
    <w:rsid w:val="00CA1F26"/>
    <w:rsid w:val="00CB47AD"/>
    <w:rsid w:val="00CB71E7"/>
    <w:rsid w:val="00CE2E69"/>
    <w:rsid w:val="00CE6EF5"/>
    <w:rsid w:val="00CF5A23"/>
    <w:rsid w:val="00D10044"/>
    <w:rsid w:val="00D10908"/>
    <w:rsid w:val="00D35388"/>
    <w:rsid w:val="00D40973"/>
    <w:rsid w:val="00D447F5"/>
    <w:rsid w:val="00D54B72"/>
    <w:rsid w:val="00D93E7C"/>
    <w:rsid w:val="00DB30D4"/>
    <w:rsid w:val="00DC0970"/>
    <w:rsid w:val="00DC0D40"/>
    <w:rsid w:val="00DE49BA"/>
    <w:rsid w:val="00DF219C"/>
    <w:rsid w:val="00E176D1"/>
    <w:rsid w:val="00E21962"/>
    <w:rsid w:val="00E36E44"/>
    <w:rsid w:val="00E71375"/>
    <w:rsid w:val="00E8104E"/>
    <w:rsid w:val="00E92594"/>
    <w:rsid w:val="00E93407"/>
    <w:rsid w:val="00ED50DB"/>
    <w:rsid w:val="00EE61E6"/>
    <w:rsid w:val="00F0086B"/>
    <w:rsid w:val="00F12520"/>
    <w:rsid w:val="00F157FC"/>
    <w:rsid w:val="00F158BB"/>
    <w:rsid w:val="00F24518"/>
    <w:rsid w:val="00F3037B"/>
    <w:rsid w:val="00F40279"/>
    <w:rsid w:val="00F50A0A"/>
    <w:rsid w:val="00F57656"/>
    <w:rsid w:val="00F61F5E"/>
    <w:rsid w:val="00F76511"/>
    <w:rsid w:val="00FA1D31"/>
    <w:rsid w:val="00FA2691"/>
    <w:rsid w:val="00FC28E7"/>
    <w:rsid w:val="00FC313E"/>
    <w:rsid w:val="00FC3C6F"/>
    <w:rsid w:val="00FD78C5"/>
    <w:rsid w:val="00FE0D6C"/>
    <w:rsid w:val="00FF0D6B"/>
    <w:rsid w:val="00FF2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1A5E58-C105-4905-90AB-259D5EA46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E69"/>
    <w:pPr>
      <w:spacing w:before="120" w:after="120"/>
    </w:pPr>
    <w:rPr>
      <w:rFonts w:ascii="Segoe UI Semilight" w:hAnsi="Segoe UI Semilight" w:cs="Segoe UI Semilight"/>
      <w:color w:val="000000" w:themeColor="text1"/>
    </w:rPr>
  </w:style>
  <w:style w:type="paragraph" w:styleId="Heading1">
    <w:name w:val="heading 1"/>
    <w:basedOn w:val="ListParagraph"/>
    <w:next w:val="Normal"/>
    <w:link w:val="Heading1Char"/>
    <w:uiPriority w:val="9"/>
    <w:qFormat/>
    <w:rsid w:val="00B30AA2"/>
    <w:pPr>
      <w:numPr>
        <w:numId w:val="5"/>
      </w:numPr>
      <w:pBdr>
        <w:bottom w:val="single" w:sz="48" w:space="1" w:color="F2F2F2" w:themeColor="background1" w:themeShade="F2"/>
      </w:pBdr>
      <w:spacing w:after="240" w:line="240" w:lineRule="auto"/>
      <w:contextualSpacing w:val="0"/>
      <w:textAlignment w:val="baseline"/>
      <w:outlineLvl w:val="0"/>
    </w:pPr>
    <w:rPr>
      <w:rFonts w:ascii="Century Gothic" w:eastAsia="Times New Roman" w:hAnsi="Century Gothic" w:cs="Arial"/>
      <w:color w:val="008887"/>
      <w:sz w:val="48"/>
      <w:szCs w:val="32"/>
    </w:rPr>
  </w:style>
  <w:style w:type="paragraph" w:styleId="Heading2">
    <w:name w:val="heading 2"/>
    <w:next w:val="Normal"/>
    <w:link w:val="Heading2Char"/>
    <w:uiPriority w:val="9"/>
    <w:unhideWhenUsed/>
    <w:qFormat/>
    <w:rsid w:val="00B30AA2"/>
    <w:pPr>
      <w:numPr>
        <w:ilvl w:val="1"/>
        <w:numId w:val="5"/>
      </w:numPr>
      <w:shd w:val="clear" w:color="auto" w:fill="FFFFFF" w:themeFill="background1"/>
      <w:spacing w:before="240"/>
      <w:outlineLvl w:val="1"/>
    </w:pPr>
    <w:rPr>
      <w:rFonts w:ascii="Century Gothic" w:eastAsia="Times New Roman" w:hAnsi="Century Gothic" w:cs="Arial"/>
      <w:b/>
      <w:color w:val="595959" w:themeColor="text1" w:themeTint="A6"/>
      <w:sz w:val="36"/>
      <w:szCs w:val="24"/>
    </w:rPr>
  </w:style>
  <w:style w:type="paragraph" w:styleId="Heading3">
    <w:name w:val="heading 3"/>
    <w:next w:val="Normal"/>
    <w:link w:val="Heading3Char"/>
    <w:uiPriority w:val="9"/>
    <w:unhideWhenUsed/>
    <w:qFormat/>
    <w:rsid w:val="00FF0D6B"/>
    <w:pPr>
      <w:spacing w:before="120" w:after="120"/>
      <w:outlineLvl w:val="2"/>
    </w:pPr>
    <w:rPr>
      <w:rFonts w:ascii="Century Gothic" w:eastAsia="Times New Roman" w:hAnsi="Century Gothic" w:cs="Arial"/>
      <w:color w:val="008887"/>
      <w:sz w:val="32"/>
      <w:szCs w:val="32"/>
    </w:rPr>
  </w:style>
  <w:style w:type="paragraph" w:styleId="Heading4">
    <w:name w:val="heading 4"/>
    <w:basedOn w:val="Normal"/>
    <w:next w:val="Normal"/>
    <w:link w:val="Heading4Char"/>
    <w:uiPriority w:val="9"/>
    <w:unhideWhenUsed/>
    <w:qFormat/>
    <w:rsid w:val="00CE2E69"/>
    <w:pPr>
      <w:spacing w:line="240" w:lineRule="auto"/>
      <w:outlineLvl w:val="3"/>
    </w:pPr>
    <w:rPr>
      <w:rFonts w:ascii="Century Gothic" w:eastAsia="Times New Roman" w:hAnsi="Century Gothic" w:cs="Arial"/>
      <w:b/>
      <w:color w:val="404040" w:themeColor="text1" w:themeTint="BF"/>
      <w:sz w:val="28"/>
      <w:szCs w:val="24"/>
    </w:rPr>
  </w:style>
  <w:style w:type="paragraph" w:styleId="Heading5">
    <w:name w:val="heading 5"/>
    <w:basedOn w:val="Normal"/>
    <w:next w:val="Normal"/>
    <w:link w:val="Heading5Char"/>
    <w:uiPriority w:val="9"/>
    <w:unhideWhenUsed/>
    <w:qFormat/>
    <w:rsid w:val="00D93E7C"/>
    <w:pPr>
      <w:keepNext/>
      <w:keepLines/>
      <w:spacing w:before="200" w:after="0"/>
      <w:outlineLvl w:val="4"/>
    </w:pPr>
    <w:rPr>
      <w:rFonts w:ascii="Segoe UI Semibold" w:eastAsiaTheme="majorEastAsia" w:hAnsi="Segoe UI Semibold" w:cs="Segoe UI Semibold"/>
      <w:b/>
      <w:color w:val="00888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clei">
    <w:name w:val="iclei"/>
    <w:basedOn w:val="TableNormal"/>
    <w:uiPriority w:val="99"/>
    <w:rsid w:val="00FD78C5"/>
    <w:pPr>
      <w:spacing w:after="0" w:line="240" w:lineRule="auto"/>
      <w:jc w:val="center"/>
    </w:pPr>
    <w:rPr>
      <w:rFonts w:eastAsiaTheme="minorEastAsia"/>
    </w:rPr>
    <w:tblPr>
      <w:tblStyleRowBandSize w:val="1"/>
      <w:tblBorders>
        <w:insideH w:val="single" w:sz="4" w:space="0" w:color="F2F2F2" w:themeColor="background1" w:themeShade="F2"/>
        <w:insideV w:val="single" w:sz="4" w:space="0" w:color="F2F2F2" w:themeColor="background1" w:themeShade="F2"/>
      </w:tblBorders>
    </w:tblPr>
    <w:tcPr>
      <w:vAlign w:val="center"/>
    </w:tcPr>
    <w:tblStylePr w:type="firstRow">
      <w:pPr>
        <w:jc w:val="center"/>
      </w:pPr>
      <w:rPr>
        <w:rFonts w:ascii="Bahnschrift SemiBold SemiConden" w:hAnsi="Bahnschrift SemiBold SemiConden"/>
        <w:color w:val="FFFFFF" w:themeColor="background1"/>
        <w:sz w:val="22"/>
      </w:rPr>
      <w:tblPr/>
      <w:tcPr>
        <w:shd w:val="clear" w:color="auto" w:fill="08B8B0"/>
      </w:tcPr>
    </w:tblStylePr>
    <w:tblStylePr w:type="firstCol">
      <w:pPr>
        <w:jc w:val="left"/>
      </w:pPr>
      <w:rPr>
        <w:rFonts w:ascii="Bahnschrift SemiBold SemiConden" w:hAnsi="Bahnschrift SemiBold SemiConden"/>
        <w:color w:val="0A3835"/>
        <w:sz w:val="20"/>
      </w:rPr>
    </w:tblStylePr>
    <w:tblStylePr w:type="band1Horz">
      <w:pPr>
        <w:jc w:val="center"/>
      </w:pPr>
      <w:rPr>
        <w:rFonts w:ascii="Bahnschrift Light SemiCondensed" w:hAnsi="Bahnschrift Light SemiCondensed"/>
        <w:color w:val="404040" w:themeColor="text1" w:themeTint="BF"/>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F2F2F2" w:themeFill="background1" w:themeFillShade="F2"/>
      </w:tcPr>
    </w:tblStylePr>
    <w:tblStylePr w:type="band2Horz">
      <w:pPr>
        <w:jc w:val="center"/>
      </w:pPr>
      <w:rPr>
        <w:rFonts w:ascii="Bahnschrift Light SemiCondensed" w:hAnsi="Bahnschrift Light SemiCondensed"/>
        <w:color w:val="404040" w:themeColor="text1" w:themeTint="BF"/>
        <w:sz w:val="20"/>
      </w:r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iclei2">
    <w:name w:val="iclei2"/>
    <w:basedOn w:val="iclei"/>
    <w:uiPriority w:val="99"/>
    <w:rsid w:val="00FD78C5"/>
    <w:tblPr>
      <w:tblBorders>
        <w:insideH w:val="single" w:sz="4" w:space="0" w:color="D9D9D9" w:themeColor="background1" w:themeShade="D9"/>
        <w:insideV w:val="none" w:sz="0" w:space="0" w:color="auto"/>
      </w:tblBorders>
    </w:tblPr>
    <w:tcPr>
      <w:shd w:val="clear" w:color="auto" w:fill="FFFFFF" w:themeFill="background1"/>
    </w:tcPr>
    <w:tblStylePr w:type="firstRow">
      <w:pPr>
        <w:jc w:val="center"/>
      </w:pPr>
      <w:rPr>
        <w:rFonts w:ascii="Bahnschrift SemiBold SemiConden" w:hAnsi="Bahnschrift SemiBold SemiConden"/>
        <w:color w:val="FFFFFF" w:themeColor="background1"/>
        <w:sz w:val="22"/>
      </w:rPr>
      <w:tblPr/>
      <w:tcPr>
        <w:tcBorders>
          <w:top w:val="nil"/>
          <w:left w:val="nil"/>
          <w:bottom w:val="nil"/>
          <w:right w:val="nil"/>
          <w:insideH w:val="nil"/>
          <w:insideV w:val="nil"/>
          <w:tl2br w:val="nil"/>
          <w:tr2bl w:val="nil"/>
        </w:tcBorders>
        <w:shd w:val="clear" w:color="auto" w:fill="08B8B0"/>
      </w:tcPr>
    </w:tblStylePr>
    <w:tblStylePr w:type="firstCol">
      <w:pPr>
        <w:jc w:val="left"/>
      </w:pPr>
      <w:rPr>
        <w:rFonts w:ascii="Bahnschrift SemiBold SemiConden" w:hAnsi="Bahnschrift SemiBold SemiConden"/>
        <w:color w:val="0A3835"/>
        <w:sz w:val="20"/>
      </w:rPr>
    </w:tblStylePr>
    <w:tblStylePr w:type="band1Horz">
      <w:pPr>
        <w:jc w:val="center"/>
      </w:pPr>
      <w:rPr>
        <w:rFonts w:ascii="Bahnschrift Light SemiCondensed" w:hAnsi="Bahnschrift Light SemiCondensed"/>
        <w:color w:val="404040" w:themeColor="text1" w:themeTint="BF"/>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FFFFFF" w:themeFill="background1"/>
      </w:tcPr>
    </w:tblStylePr>
    <w:tblStylePr w:type="band2Horz">
      <w:pPr>
        <w:jc w:val="center"/>
      </w:pPr>
      <w:rPr>
        <w:rFonts w:ascii="Bahnschrift Light SemiCondensed" w:hAnsi="Bahnschrift Light SemiCondensed"/>
        <w:color w:val="404040" w:themeColor="text1" w:themeTint="BF"/>
        <w:sz w:val="20"/>
      </w:rPr>
      <w:tblPr/>
      <w:tcPr>
        <w:tcBorders>
          <w:top w:val="nil"/>
          <w:left w:val="nil"/>
          <w:bottom w:val="nil"/>
          <w:right w:val="nil"/>
          <w:insideH w:val="nil"/>
          <w:insideV w:val="nil"/>
          <w:tl2br w:val="nil"/>
          <w:tr2bl w:val="nil"/>
        </w:tcBorders>
        <w:shd w:val="clear" w:color="auto" w:fill="FFFFFF" w:themeFill="background1"/>
      </w:tcPr>
    </w:tblStylePr>
  </w:style>
  <w:style w:type="paragraph" w:styleId="NormalWeb">
    <w:name w:val="Normal (Web)"/>
    <w:basedOn w:val="Normal"/>
    <w:uiPriority w:val="99"/>
    <w:semiHidden/>
    <w:unhideWhenUsed/>
    <w:rsid w:val="00DC0D4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C0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D40"/>
    <w:rPr>
      <w:rFonts w:ascii="Tahoma" w:hAnsi="Tahoma" w:cs="Tahoma"/>
      <w:sz w:val="16"/>
      <w:szCs w:val="16"/>
    </w:rPr>
  </w:style>
  <w:style w:type="character" w:styleId="CommentReference">
    <w:name w:val="annotation reference"/>
    <w:basedOn w:val="DefaultParagraphFont"/>
    <w:uiPriority w:val="99"/>
    <w:semiHidden/>
    <w:unhideWhenUsed/>
    <w:rsid w:val="00DC0D40"/>
    <w:rPr>
      <w:sz w:val="16"/>
      <w:szCs w:val="16"/>
    </w:rPr>
  </w:style>
  <w:style w:type="paragraph" w:styleId="CommentText">
    <w:name w:val="annotation text"/>
    <w:basedOn w:val="Normal"/>
    <w:link w:val="CommentTextChar"/>
    <w:uiPriority w:val="99"/>
    <w:unhideWhenUsed/>
    <w:rsid w:val="00DC0D40"/>
    <w:pPr>
      <w:spacing w:line="240" w:lineRule="auto"/>
    </w:pPr>
    <w:rPr>
      <w:sz w:val="20"/>
      <w:szCs w:val="20"/>
    </w:rPr>
  </w:style>
  <w:style w:type="character" w:customStyle="1" w:styleId="CommentTextChar">
    <w:name w:val="Comment Text Char"/>
    <w:basedOn w:val="DefaultParagraphFont"/>
    <w:link w:val="CommentText"/>
    <w:uiPriority w:val="99"/>
    <w:rsid w:val="00DC0D40"/>
    <w:rPr>
      <w:sz w:val="20"/>
      <w:szCs w:val="20"/>
    </w:rPr>
  </w:style>
  <w:style w:type="paragraph" w:styleId="CommentSubject">
    <w:name w:val="annotation subject"/>
    <w:basedOn w:val="CommentText"/>
    <w:next w:val="CommentText"/>
    <w:link w:val="CommentSubjectChar"/>
    <w:uiPriority w:val="99"/>
    <w:semiHidden/>
    <w:unhideWhenUsed/>
    <w:rsid w:val="00DC0D40"/>
    <w:rPr>
      <w:b/>
      <w:bCs/>
    </w:rPr>
  </w:style>
  <w:style w:type="character" w:customStyle="1" w:styleId="CommentSubjectChar">
    <w:name w:val="Comment Subject Char"/>
    <w:basedOn w:val="CommentTextChar"/>
    <w:link w:val="CommentSubject"/>
    <w:uiPriority w:val="99"/>
    <w:semiHidden/>
    <w:rsid w:val="00DC0D40"/>
    <w:rPr>
      <w:b/>
      <w:bCs/>
      <w:sz w:val="20"/>
      <w:szCs w:val="20"/>
    </w:rPr>
  </w:style>
  <w:style w:type="paragraph" w:styleId="ListParagraph">
    <w:name w:val="List Paragraph"/>
    <w:basedOn w:val="Normal"/>
    <w:link w:val="ListParagraphChar"/>
    <w:uiPriority w:val="34"/>
    <w:qFormat/>
    <w:rsid w:val="00CA1F26"/>
    <w:pPr>
      <w:ind w:left="720"/>
      <w:contextualSpacing/>
    </w:pPr>
  </w:style>
  <w:style w:type="character" w:customStyle="1" w:styleId="Heading1Char">
    <w:name w:val="Heading 1 Char"/>
    <w:basedOn w:val="DefaultParagraphFont"/>
    <w:link w:val="Heading1"/>
    <w:uiPriority w:val="9"/>
    <w:rsid w:val="00B30AA2"/>
    <w:rPr>
      <w:rFonts w:ascii="Century Gothic" w:eastAsia="Times New Roman" w:hAnsi="Century Gothic" w:cs="Arial"/>
      <w:color w:val="008887"/>
      <w:sz w:val="48"/>
      <w:szCs w:val="32"/>
    </w:rPr>
  </w:style>
  <w:style w:type="character" w:customStyle="1" w:styleId="Heading2Char">
    <w:name w:val="Heading 2 Char"/>
    <w:basedOn w:val="DefaultParagraphFont"/>
    <w:link w:val="Heading2"/>
    <w:uiPriority w:val="9"/>
    <w:rsid w:val="00B30AA2"/>
    <w:rPr>
      <w:rFonts w:ascii="Century Gothic" w:eastAsia="Times New Roman" w:hAnsi="Century Gothic" w:cs="Arial"/>
      <w:b/>
      <w:color w:val="595959" w:themeColor="text1" w:themeTint="A6"/>
      <w:sz w:val="36"/>
      <w:szCs w:val="24"/>
      <w:shd w:val="clear" w:color="auto" w:fill="FFFFFF" w:themeFill="background1"/>
    </w:rPr>
  </w:style>
  <w:style w:type="character" w:customStyle="1" w:styleId="Heading3Char">
    <w:name w:val="Heading 3 Char"/>
    <w:basedOn w:val="DefaultParagraphFont"/>
    <w:link w:val="Heading3"/>
    <w:uiPriority w:val="9"/>
    <w:rsid w:val="00FF0D6B"/>
    <w:rPr>
      <w:rFonts w:ascii="Century Gothic" w:eastAsia="Times New Roman" w:hAnsi="Century Gothic" w:cs="Arial"/>
      <w:color w:val="008887"/>
      <w:sz w:val="32"/>
      <w:szCs w:val="32"/>
    </w:rPr>
  </w:style>
  <w:style w:type="character" w:customStyle="1" w:styleId="Heading4Char">
    <w:name w:val="Heading 4 Char"/>
    <w:basedOn w:val="DefaultParagraphFont"/>
    <w:link w:val="Heading4"/>
    <w:uiPriority w:val="9"/>
    <w:rsid w:val="00CE2E69"/>
    <w:rPr>
      <w:rFonts w:ascii="Century Gothic" w:eastAsia="Times New Roman" w:hAnsi="Century Gothic" w:cs="Arial"/>
      <w:b/>
      <w:color w:val="404040" w:themeColor="text1" w:themeTint="BF"/>
      <w:sz w:val="28"/>
      <w:szCs w:val="24"/>
    </w:rPr>
  </w:style>
  <w:style w:type="paragraph" w:styleId="NoSpacing">
    <w:name w:val="No Spacing"/>
    <w:uiPriority w:val="1"/>
    <w:qFormat/>
    <w:rsid w:val="00F61F5E"/>
    <w:pPr>
      <w:spacing w:after="0" w:line="240" w:lineRule="auto"/>
    </w:pPr>
  </w:style>
  <w:style w:type="paragraph" w:customStyle="1" w:styleId="coverpage">
    <w:name w:val="cover page"/>
    <w:basedOn w:val="Normal"/>
    <w:link w:val="coverpageChar"/>
    <w:qFormat/>
    <w:rsid w:val="00F3037B"/>
    <w:pPr>
      <w:spacing w:line="240" w:lineRule="auto"/>
    </w:pPr>
    <w:rPr>
      <w:rFonts w:ascii="Century Gothic" w:hAnsi="Century Gothic"/>
      <w:color w:val="FFFFFF" w:themeColor="background1"/>
      <w:sz w:val="56"/>
      <w:szCs w:val="56"/>
    </w:rPr>
  </w:style>
  <w:style w:type="paragraph" w:customStyle="1" w:styleId="Bodylists">
    <w:name w:val="Body lists"/>
    <w:basedOn w:val="ListParagraph"/>
    <w:link w:val="BodylistsChar"/>
    <w:qFormat/>
    <w:rsid w:val="00675E71"/>
    <w:pPr>
      <w:numPr>
        <w:numId w:val="1"/>
      </w:numPr>
      <w:spacing w:before="80" w:after="80" w:line="240" w:lineRule="auto"/>
      <w:ind w:left="810" w:hanging="450"/>
      <w:contextualSpacing w:val="0"/>
    </w:pPr>
  </w:style>
  <w:style w:type="character" w:customStyle="1" w:styleId="coverpageChar">
    <w:name w:val="cover page Char"/>
    <w:basedOn w:val="DefaultParagraphFont"/>
    <w:link w:val="coverpage"/>
    <w:rsid w:val="00F3037B"/>
    <w:rPr>
      <w:rFonts w:ascii="Century Gothic" w:hAnsi="Century Gothic" w:cs="Segoe UI Semilight"/>
      <w:color w:val="FFFFFF" w:themeColor="background1"/>
      <w:sz w:val="56"/>
      <w:szCs w:val="56"/>
    </w:rPr>
  </w:style>
  <w:style w:type="character" w:styleId="Hyperlink">
    <w:name w:val="Hyperlink"/>
    <w:basedOn w:val="DefaultParagraphFont"/>
    <w:uiPriority w:val="99"/>
    <w:unhideWhenUsed/>
    <w:rsid w:val="0084768A"/>
    <w:rPr>
      <w:color w:val="0000FF" w:themeColor="hyperlink"/>
      <w:u w:val="single"/>
    </w:rPr>
  </w:style>
  <w:style w:type="character" w:customStyle="1" w:styleId="ListParagraphChar">
    <w:name w:val="List Paragraph Char"/>
    <w:basedOn w:val="DefaultParagraphFont"/>
    <w:link w:val="ListParagraph"/>
    <w:uiPriority w:val="34"/>
    <w:rsid w:val="009D02FF"/>
    <w:rPr>
      <w:rFonts w:ascii="Segoe UI Semilight" w:hAnsi="Segoe UI Semilight" w:cs="Segoe UI Semilight"/>
      <w:color w:val="000000" w:themeColor="text1"/>
    </w:rPr>
  </w:style>
  <w:style w:type="character" w:customStyle="1" w:styleId="BodylistsChar">
    <w:name w:val="Body lists Char"/>
    <w:basedOn w:val="ListParagraphChar"/>
    <w:link w:val="Bodylists"/>
    <w:rsid w:val="00675E71"/>
    <w:rPr>
      <w:rFonts w:ascii="Segoe UI Semilight" w:hAnsi="Segoe UI Semilight" w:cs="Segoe UI Semilight"/>
      <w:color w:val="000000" w:themeColor="text1"/>
    </w:rPr>
  </w:style>
  <w:style w:type="paragraph" w:styleId="Header">
    <w:name w:val="header"/>
    <w:basedOn w:val="Normal"/>
    <w:link w:val="HeaderChar"/>
    <w:uiPriority w:val="99"/>
    <w:unhideWhenUsed/>
    <w:rsid w:val="005E2C4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E2C44"/>
    <w:rPr>
      <w:rFonts w:ascii="Segoe UI Semilight" w:hAnsi="Segoe UI Semilight" w:cs="Segoe UI Semilight"/>
      <w:color w:val="000000" w:themeColor="text1"/>
    </w:rPr>
  </w:style>
  <w:style w:type="paragraph" w:styleId="Footer">
    <w:name w:val="footer"/>
    <w:basedOn w:val="Normal"/>
    <w:link w:val="FooterChar"/>
    <w:uiPriority w:val="99"/>
    <w:unhideWhenUsed/>
    <w:rsid w:val="005E2C4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E2C44"/>
    <w:rPr>
      <w:rFonts w:ascii="Segoe UI Semilight" w:hAnsi="Segoe UI Semilight" w:cs="Segoe UI Semilight"/>
      <w:color w:val="000000" w:themeColor="text1"/>
    </w:rPr>
  </w:style>
  <w:style w:type="character" w:styleId="SubtleEmphasis">
    <w:name w:val="Subtle Emphasis"/>
    <w:basedOn w:val="DefaultParagraphFont"/>
    <w:uiPriority w:val="19"/>
    <w:qFormat/>
    <w:rsid w:val="00987D27"/>
    <w:rPr>
      <w:i/>
      <w:iCs/>
      <w:color w:val="808080" w:themeColor="text1" w:themeTint="7F"/>
    </w:rPr>
  </w:style>
  <w:style w:type="character" w:customStyle="1" w:styleId="Heading5Char">
    <w:name w:val="Heading 5 Char"/>
    <w:basedOn w:val="DefaultParagraphFont"/>
    <w:link w:val="Heading5"/>
    <w:uiPriority w:val="9"/>
    <w:rsid w:val="00D93E7C"/>
    <w:rPr>
      <w:rFonts w:ascii="Segoe UI Semibold" w:eastAsiaTheme="majorEastAsia" w:hAnsi="Segoe UI Semibold" w:cs="Segoe UI Semibold"/>
      <w:b/>
      <w:color w:val="008887"/>
      <w:sz w:val="24"/>
    </w:rPr>
  </w:style>
  <w:style w:type="numbering" w:customStyle="1" w:styleId="Style1">
    <w:name w:val="Style1"/>
    <w:uiPriority w:val="99"/>
    <w:rsid w:val="00D447F5"/>
    <w:pPr>
      <w:numPr>
        <w:numId w:val="4"/>
      </w:numPr>
    </w:pPr>
  </w:style>
  <w:style w:type="character" w:styleId="FollowedHyperlink">
    <w:name w:val="FollowedHyperlink"/>
    <w:basedOn w:val="DefaultParagraphFont"/>
    <w:uiPriority w:val="99"/>
    <w:semiHidden/>
    <w:unhideWhenUsed/>
    <w:rsid w:val="00F40279"/>
    <w:rPr>
      <w:color w:val="800080" w:themeColor="followedHyperlink"/>
      <w:u w:val="single"/>
    </w:rPr>
  </w:style>
  <w:style w:type="table" w:styleId="TableGrid">
    <w:name w:val="Table Grid"/>
    <w:basedOn w:val="TableNormal"/>
    <w:uiPriority w:val="59"/>
    <w:rsid w:val="001F1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1F100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1F100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Caption">
    <w:name w:val="caption"/>
    <w:basedOn w:val="Normal"/>
    <w:next w:val="Normal"/>
    <w:uiPriority w:val="35"/>
    <w:semiHidden/>
    <w:unhideWhenUsed/>
    <w:qFormat/>
    <w:rsid w:val="00C44DFA"/>
    <w:pPr>
      <w:spacing w:before="0" w:after="200" w:line="240" w:lineRule="auto"/>
    </w:pPr>
    <w:rPr>
      <w:b/>
      <w:bCs/>
      <w:color w:val="4F81BD" w:themeColor="accent1"/>
      <w:sz w:val="18"/>
      <w:szCs w:val="18"/>
    </w:rPr>
  </w:style>
  <w:style w:type="paragraph" w:styleId="Bibliography">
    <w:name w:val="Bibliography"/>
    <w:basedOn w:val="Normal"/>
    <w:next w:val="Normal"/>
    <w:uiPriority w:val="37"/>
    <w:unhideWhenUsed/>
    <w:rsid w:val="00CE6EF5"/>
  </w:style>
  <w:style w:type="paragraph" w:styleId="TOC1">
    <w:name w:val="toc 1"/>
    <w:basedOn w:val="Normal"/>
    <w:next w:val="Normal"/>
    <w:autoRedefine/>
    <w:uiPriority w:val="39"/>
    <w:unhideWhenUsed/>
    <w:rsid w:val="00365227"/>
    <w:pPr>
      <w:spacing w:after="100"/>
    </w:pPr>
  </w:style>
  <w:style w:type="paragraph" w:styleId="TOC2">
    <w:name w:val="toc 2"/>
    <w:basedOn w:val="Normal"/>
    <w:next w:val="Normal"/>
    <w:autoRedefine/>
    <w:uiPriority w:val="39"/>
    <w:unhideWhenUsed/>
    <w:rsid w:val="00365227"/>
    <w:pPr>
      <w:spacing w:after="100"/>
      <w:ind w:left="220"/>
    </w:pPr>
  </w:style>
  <w:style w:type="paragraph" w:styleId="TOC3">
    <w:name w:val="toc 3"/>
    <w:basedOn w:val="Normal"/>
    <w:next w:val="Normal"/>
    <w:autoRedefine/>
    <w:uiPriority w:val="39"/>
    <w:unhideWhenUsed/>
    <w:rsid w:val="0036522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629737">
      <w:bodyDiv w:val="1"/>
      <w:marLeft w:val="0"/>
      <w:marRight w:val="0"/>
      <w:marTop w:val="0"/>
      <w:marBottom w:val="0"/>
      <w:divBdr>
        <w:top w:val="none" w:sz="0" w:space="0" w:color="auto"/>
        <w:left w:val="none" w:sz="0" w:space="0" w:color="auto"/>
        <w:bottom w:val="none" w:sz="0" w:space="0" w:color="auto"/>
        <w:right w:val="none" w:sz="0" w:space="0" w:color="auto"/>
      </w:divBdr>
    </w:div>
    <w:div w:id="1175876855">
      <w:bodyDiv w:val="1"/>
      <w:marLeft w:val="0"/>
      <w:marRight w:val="0"/>
      <w:marTop w:val="0"/>
      <w:marBottom w:val="0"/>
      <w:divBdr>
        <w:top w:val="none" w:sz="0" w:space="0" w:color="auto"/>
        <w:left w:val="none" w:sz="0" w:space="0" w:color="auto"/>
        <w:bottom w:val="none" w:sz="0" w:space="0" w:color="auto"/>
        <w:right w:val="none" w:sz="0" w:space="0" w:color="auto"/>
      </w:divBdr>
    </w:div>
    <w:div w:id="1690134955">
      <w:bodyDiv w:val="1"/>
      <w:marLeft w:val="0"/>
      <w:marRight w:val="0"/>
      <w:marTop w:val="0"/>
      <w:marBottom w:val="0"/>
      <w:divBdr>
        <w:top w:val="none" w:sz="0" w:space="0" w:color="auto"/>
        <w:left w:val="none" w:sz="0" w:space="0" w:color="auto"/>
        <w:bottom w:val="none" w:sz="0" w:space="0" w:color="auto"/>
        <w:right w:val="none" w:sz="0" w:space="0" w:color="auto"/>
      </w:divBdr>
    </w:div>
    <w:div w:id="201210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limatesmart.ny.gov/actions-certification/actions/"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baylocalize.org/files/Community_Resilience_Toolkit_v1.0.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Int14</b:Tag>
    <b:SourceType>Report</b:SourceType>
    <b:Guid>{03163C39-463A-41E5-95AB-6EC94D9E2A7A}</b:Guid>
    <b:Title>Summary for Policymakers. In: Climate Change 2014: Impacts, Adaptation, and Vulnerability</b:Title>
    <b:Year>2014</b:Year>
    <b:Author>
      <b:Author>
        <b:Corporate>Intergovernmental Panel on Climate Change (IPCC)</b:Corporate>
      </b:Author>
    </b:Author>
    <b:Publisher>Cambridge University Press</b:Publisher>
    <b:City>Cambridge, United Kingdom and New York, NY, USA</b:City>
    <b:RefOrder>3</b:RefOrder>
  </b:Source>
  <b:Source>
    <b:Tag>Cli19</b:Tag>
    <b:SourceType>InternetSite</b:SourceType>
    <b:Guid>{F41ACD01-7766-47A4-93DF-4A54335262E6}</b:Guid>
    <b:Title>Climate Smart Communities</b:Title>
    <b:Year>2019</b:Year>
    <b:InternetSiteTitle>New York State</b:InternetSiteTitle>
    <b:URL>https://climatesmart.ny.gov/about/</b:URL>
    <b:Author>
      <b:Author>
        <b:Corporate>New York State</b:Corporate>
      </b:Author>
    </b:Author>
    <b:RefOrder>1</b:RefOrder>
  </b:Source>
  <b:Source>
    <b:Tag>Glo19</b:Tag>
    <b:SourceType>DocumentFromInternetSite</b:SourceType>
    <b:Guid>{0490E8DC-3399-4402-BBF1-D4E6DEDE8866}</b:Guid>
    <b:Author>
      <b:Author>
        <b:Corporate>GCoM</b:Corporate>
      </b:Author>
    </b:Author>
    <b:Title>Resources for Cities</b:Title>
    <b:InternetSiteTitle>Global Covenant of Mayors for Climate and Energy</b:InternetSiteTitle>
    <b:Year>2019</b:Year>
    <b:URL>https://www.globalcovenantofmayors.org/our-initiatives/data4cities/resources/</b:URL>
    <b:RefOrder>2</b:RefOrder>
  </b:Source>
</b:Sources>
</file>

<file path=customXml/itemProps1.xml><?xml version="1.0" encoding="utf-8"?>
<ds:datastoreItem xmlns:ds="http://schemas.openxmlformats.org/officeDocument/2006/customXml" ds:itemID="{655F62BB-F6D2-4CCC-B466-6580E64BD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3044</Words>
  <Characters>17351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Carpentier</dc:creator>
  <cp:lastModifiedBy>Amanda Gotto</cp:lastModifiedBy>
  <cp:revision>2</cp:revision>
  <dcterms:created xsi:type="dcterms:W3CDTF">2019-12-29T20:22:00Z</dcterms:created>
  <dcterms:modified xsi:type="dcterms:W3CDTF">2019-12-29T20:22:00Z</dcterms:modified>
</cp:coreProperties>
</file>